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A2" w:rsidRDefault="00D660A2" w:rsidP="00DC327B">
      <w:pPr>
        <w:ind w:left="720"/>
        <w:contextualSpacing/>
        <w:jc w:val="both"/>
        <w:rPr>
          <w:rFonts w:ascii="Arial" w:hAnsi="Arial" w:cs="Arial"/>
          <w:b/>
          <w:bCs/>
          <w:sz w:val="24"/>
          <w:szCs w:val="24"/>
          <w:lang w:val="en-ZA"/>
        </w:rPr>
      </w:pPr>
      <w:bookmarkStart w:id="0" w:name="_GoBack"/>
      <w:bookmarkEnd w:id="0"/>
    </w:p>
    <w:p w:rsidR="00D660A2" w:rsidRPr="00D660A2" w:rsidRDefault="00D660A2" w:rsidP="00D660A2">
      <w:pPr>
        <w:jc w:val="center"/>
        <w:rPr>
          <w:rFonts w:ascii="Arial" w:hAnsi="Arial" w:cs="Arial"/>
          <w:b/>
          <w:lang w:val="en-ZA"/>
        </w:rPr>
      </w:pPr>
      <w:r w:rsidRPr="00D660A2">
        <w:rPr>
          <w:rFonts w:ascii="Arial" w:hAnsi="Arial" w:cs="Arial"/>
          <w:b/>
          <w:noProof/>
        </w:rPr>
        <w:drawing>
          <wp:inline distT="0" distB="0" distL="0" distR="0" wp14:anchorId="571E1821" wp14:editId="38908028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0A2" w:rsidRPr="00D660A2" w:rsidRDefault="00D660A2" w:rsidP="00D660A2">
      <w:pPr>
        <w:jc w:val="center"/>
        <w:rPr>
          <w:rFonts w:ascii="Arial" w:hAnsi="Arial" w:cs="Arial"/>
          <w:b/>
          <w:lang w:val="en-ZA"/>
        </w:rPr>
      </w:pPr>
    </w:p>
    <w:p w:rsidR="00D660A2" w:rsidRPr="00D660A2" w:rsidRDefault="00D660A2" w:rsidP="00D660A2">
      <w:pPr>
        <w:jc w:val="center"/>
        <w:rPr>
          <w:rFonts w:ascii="Arial" w:hAnsi="Arial" w:cs="Arial"/>
          <w:b/>
          <w:lang w:val="en-ZA"/>
        </w:rPr>
      </w:pPr>
    </w:p>
    <w:p w:rsidR="00D660A2" w:rsidRPr="00D660A2" w:rsidRDefault="00D660A2" w:rsidP="00D660A2">
      <w:pPr>
        <w:jc w:val="center"/>
        <w:rPr>
          <w:rFonts w:ascii="Arial" w:hAnsi="Arial" w:cs="Arial"/>
          <w:b/>
          <w:sz w:val="24"/>
          <w:szCs w:val="24"/>
          <w:lang w:val="en-ZA"/>
        </w:rPr>
      </w:pPr>
    </w:p>
    <w:p w:rsidR="00D660A2" w:rsidRPr="00D660A2" w:rsidRDefault="00A414E6" w:rsidP="00D660A2">
      <w:pPr>
        <w:jc w:val="center"/>
        <w:rPr>
          <w:rFonts w:ascii="Arial" w:hAnsi="Arial" w:cs="Arial"/>
          <w:b/>
          <w:sz w:val="24"/>
          <w:szCs w:val="24"/>
          <w:lang w:val="en-ZA"/>
        </w:rPr>
      </w:pPr>
      <w:r>
        <w:rPr>
          <w:rFonts w:ascii="Arial" w:hAnsi="Arial" w:cs="Arial"/>
          <w:b/>
          <w:sz w:val="24"/>
          <w:szCs w:val="24"/>
          <w:lang w:val="en-ZA"/>
        </w:rPr>
        <w:t>OUTCOME OF</w:t>
      </w:r>
      <w:r w:rsidR="00D660A2" w:rsidRPr="00D660A2">
        <w:rPr>
          <w:rFonts w:ascii="Arial" w:hAnsi="Arial" w:cs="Arial"/>
          <w:b/>
          <w:sz w:val="24"/>
          <w:szCs w:val="24"/>
          <w:lang w:val="en-ZA"/>
        </w:rPr>
        <w:t xml:space="preserve"> CASES </w:t>
      </w:r>
      <w:r>
        <w:rPr>
          <w:rFonts w:ascii="Arial" w:hAnsi="Arial" w:cs="Arial"/>
          <w:b/>
          <w:sz w:val="24"/>
          <w:szCs w:val="24"/>
          <w:lang w:val="en-ZA"/>
        </w:rPr>
        <w:t xml:space="preserve">HEARD BY THE </w:t>
      </w:r>
      <w:r w:rsidR="00D660A2" w:rsidRPr="00D660A2">
        <w:rPr>
          <w:rFonts w:ascii="Arial" w:hAnsi="Arial" w:cs="Arial"/>
          <w:b/>
          <w:sz w:val="24"/>
          <w:szCs w:val="24"/>
          <w:lang w:val="en-ZA"/>
        </w:rPr>
        <w:t xml:space="preserve">TRIBUNAL </w:t>
      </w:r>
      <w:r>
        <w:rPr>
          <w:rFonts w:ascii="Arial" w:hAnsi="Arial" w:cs="Arial"/>
          <w:b/>
          <w:sz w:val="24"/>
          <w:szCs w:val="24"/>
          <w:lang w:val="en-ZA"/>
        </w:rPr>
        <w:t xml:space="preserve">ON </w:t>
      </w:r>
      <w:r w:rsidR="00D660A2" w:rsidRPr="00D660A2">
        <w:rPr>
          <w:rFonts w:ascii="Arial" w:hAnsi="Arial" w:cs="Arial"/>
          <w:b/>
          <w:sz w:val="24"/>
          <w:szCs w:val="24"/>
          <w:lang w:val="en-ZA"/>
        </w:rPr>
        <w:t xml:space="preserve">WEDNESDAY, </w:t>
      </w:r>
      <w:r w:rsidR="00D660A2" w:rsidRPr="00B15C68">
        <w:rPr>
          <w:rFonts w:ascii="Arial" w:hAnsi="Arial" w:cs="Arial"/>
          <w:b/>
          <w:sz w:val="24"/>
          <w:szCs w:val="24"/>
          <w:lang w:val="en-ZA"/>
        </w:rPr>
        <w:t xml:space="preserve">26 OCTOBER </w:t>
      </w:r>
      <w:r w:rsidR="00D660A2" w:rsidRPr="00D660A2">
        <w:rPr>
          <w:rFonts w:ascii="Arial" w:hAnsi="Arial" w:cs="Arial"/>
          <w:b/>
          <w:sz w:val="24"/>
          <w:szCs w:val="24"/>
          <w:lang w:val="en-ZA"/>
        </w:rPr>
        <w:t>2016</w:t>
      </w:r>
    </w:p>
    <w:p w:rsidR="00D660A2" w:rsidRPr="00D660A2" w:rsidRDefault="00D660A2" w:rsidP="00D660A2">
      <w:pPr>
        <w:jc w:val="both"/>
        <w:rPr>
          <w:rFonts w:ascii="Arial" w:hAnsi="Arial" w:cs="Arial"/>
          <w:b/>
          <w:lang w:val="en-ZA"/>
        </w:rPr>
      </w:pPr>
    </w:p>
    <w:p w:rsidR="00D660A2" w:rsidRPr="00D660A2" w:rsidRDefault="00D660A2" w:rsidP="00D660A2">
      <w:pPr>
        <w:jc w:val="both"/>
        <w:rPr>
          <w:rFonts w:ascii="Arial" w:hAnsi="Arial" w:cs="Arial"/>
          <w:b/>
          <w:lang w:val="en-ZA"/>
        </w:rPr>
      </w:pPr>
    </w:p>
    <w:p w:rsidR="00D660A2" w:rsidRPr="00D660A2" w:rsidRDefault="00D660A2" w:rsidP="00D660A2">
      <w:pPr>
        <w:jc w:val="both"/>
        <w:rPr>
          <w:rFonts w:ascii="Arial" w:hAnsi="Arial" w:cs="Arial"/>
          <w:lang w:val="en-ZA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D660A2" w:rsidRPr="00D660A2" w:rsidTr="00610D04">
        <w:trPr>
          <w:trHeight w:val="972"/>
        </w:trPr>
        <w:tc>
          <w:tcPr>
            <w:tcW w:w="3153" w:type="dxa"/>
            <w:shd w:val="clear" w:color="auto" w:fill="996633"/>
          </w:tcPr>
          <w:p w:rsidR="00D660A2" w:rsidRPr="00D660A2" w:rsidRDefault="00D660A2" w:rsidP="00D660A2">
            <w:pPr>
              <w:rPr>
                <w:rFonts w:ascii="Arial" w:hAnsi="Arial" w:cs="Arial"/>
                <w:color w:val="FFFFFF" w:themeColor="background1"/>
              </w:rPr>
            </w:pPr>
            <w:r w:rsidRPr="00D660A2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D660A2" w:rsidRPr="00D660A2" w:rsidRDefault="00D660A2" w:rsidP="00D660A2">
            <w:pPr>
              <w:rPr>
                <w:rFonts w:ascii="Arial" w:hAnsi="Arial" w:cs="Arial"/>
                <w:color w:val="FFFFFF" w:themeColor="background1"/>
              </w:rPr>
            </w:pPr>
            <w:r w:rsidRPr="00D660A2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D660A2" w:rsidRPr="00D660A2" w:rsidRDefault="00D660A2" w:rsidP="00D660A2">
            <w:pPr>
              <w:rPr>
                <w:rFonts w:ascii="Arial" w:hAnsi="Arial" w:cs="Arial"/>
                <w:color w:val="FFFFFF" w:themeColor="background1"/>
              </w:rPr>
            </w:pPr>
            <w:r w:rsidRPr="00D660A2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D660A2" w:rsidRPr="00D660A2" w:rsidTr="00610D04">
        <w:trPr>
          <w:trHeight w:val="493"/>
        </w:trPr>
        <w:tc>
          <w:tcPr>
            <w:tcW w:w="3153" w:type="dxa"/>
          </w:tcPr>
          <w:p w:rsidR="00D660A2" w:rsidRPr="00D660A2" w:rsidRDefault="00D660A2" w:rsidP="00D660A2">
            <w:pPr>
              <w:jc w:val="both"/>
              <w:rPr>
                <w:rFonts w:ascii="Arial" w:hAnsi="Arial" w:cs="Arial"/>
              </w:rPr>
            </w:pPr>
            <w:r w:rsidRPr="00D660A2">
              <w:rPr>
                <w:rFonts w:ascii="Arial" w:hAnsi="Arial" w:cs="Arial"/>
              </w:rPr>
              <w:t>Large merger</w:t>
            </w:r>
          </w:p>
        </w:tc>
        <w:tc>
          <w:tcPr>
            <w:tcW w:w="3198" w:type="dxa"/>
          </w:tcPr>
          <w:p w:rsidR="00D660A2" w:rsidRPr="00D660A2" w:rsidRDefault="00D660A2" w:rsidP="00EA5D6C">
            <w:pPr>
              <w:jc w:val="both"/>
              <w:rPr>
                <w:rFonts w:ascii="Arial" w:hAnsi="Arial" w:cs="Arial"/>
              </w:rPr>
            </w:pPr>
            <w:r w:rsidRPr="00304269">
              <w:rPr>
                <w:rFonts w:ascii="Arial" w:hAnsi="Arial" w:cs="Arial"/>
                <w:color w:val="000000"/>
              </w:rPr>
              <w:t xml:space="preserve">RMB Holdings Limited And </w:t>
            </w:r>
            <w:r w:rsidR="00EA5D6C">
              <w:rPr>
                <w:rFonts w:ascii="Arial" w:hAnsi="Arial" w:cs="Arial"/>
                <w:color w:val="000000"/>
              </w:rPr>
              <w:t xml:space="preserve">Propertuity Development </w:t>
            </w:r>
            <w:r w:rsidRPr="00304269">
              <w:rPr>
                <w:rFonts w:ascii="Arial" w:hAnsi="Arial" w:cs="Arial"/>
                <w:color w:val="000000"/>
              </w:rPr>
              <w:t>(Pty) Ltd</w:t>
            </w:r>
          </w:p>
        </w:tc>
        <w:tc>
          <w:tcPr>
            <w:tcW w:w="2873" w:type="dxa"/>
          </w:tcPr>
          <w:p w:rsidR="00D660A2" w:rsidRPr="00D660A2" w:rsidRDefault="004C612C" w:rsidP="00D660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 without conditions </w:t>
            </w:r>
          </w:p>
        </w:tc>
      </w:tr>
      <w:tr w:rsidR="00D660A2" w:rsidRPr="00D660A2" w:rsidTr="00610D04">
        <w:trPr>
          <w:trHeight w:val="70"/>
        </w:trPr>
        <w:tc>
          <w:tcPr>
            <w:tcW w:w="3153" w:type="dxa"/>
          </w:tcPr>
          <w:p w:rsidR="00D660A2" w:rsidRPr="00D660A2" w:rsidRDefault="00D660A2" w:rsidP="00D660A2">
            <w:pPr>
              <w:jc w:val="both"/>
              <w:rPr>
                <w:rFonts w:ascii="Arial" w:hAnsi="Arial" w:cs="Arial"/>
              </w:rPr>
            </w:pPr>
            <w:r w:rsidRPr="00D660A2">
              <w:rPr>
                <w:rFonts w:ascii="Arial" w:hAnsi="Arial" w:cs="Arial"/>
              </w:rPr>
              <w:t>Large merger</w:t>
            </w:r>
          </w:p>
          <w:p w:rsidR="00D660A2" w:rsidRPr="00D660A2" w:rsidRDefault="00D660A2" w:rsidP="00D660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8" w:type="dxa"/>
          </w:tcPr>
          <w:p w:rsidR="00D660A2" w:rsidRPr="00D660A2" w:rsidRDefault="00D660A2" w:rsidP="00EA5D6C">
            <w:pPr>
              <w:jc w:val="both"/>
              <w:rPr>
                <w:rFonts w:ascii="Arial" w:hAnsi="Arial" w:cs="Arial"/>
              </w:rPr>
            </w:pPr>
            <w:r w:rsidRPr="00304269">
              <w:rPr>
                <w:rFonts w:ascii="Arial" w:hAnsi="Arial" w:cs="Arial"/>
                <w:color w:val="000000"/>
              </w:rPr>
              <w:t>BASF SE, Germany And Rockwood Specialties Group GMBH, Ger</w:t>
            </w:r>
            <w:r w:rsidR="00EA5D6C">
              <w:rPr>
                <w:rFonts w:ascii="Arial" w:hAnsi="Arial" w:cs="Arial"/>
                <w:color w:val="000000"/>
              </w:rPr>
              <w:t>many and Chemetall U.S., Inc</w:t>
            </w:r>
          </w:p>
        </w:tc>
        <w:tc>
          <w:tcPr>
            <w:tcW w:w="2873" w:type="dxa"/>
          </w:tcPr>
          <w:p w:rsidR="00D660A2" w:rsidRPr="00D660A2" w:rsidRDefault="004C612C" w:rsidP="00D660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 without conditions</w:t>
            </w:r>
          </w:p>
        </w:tc>
      </w:tr>
      <w:tr w:rsidR="00D660A2" w:rsidRPr="00D660A2" w:rsidTr="00610D04">
        <w:trPr>
          <w:trHeight w:val="70"/>
        </w:trPr>
        <w:tc>
          <w:tcPr>
            <w:tcW w:w="3153" w:type="dxa"/>
          </w:tcPr>
          <w:p w:rsidR="00D660A2" w:rsidRPr="00D660A2" w:rsidRDefault="00D660A2" w:rsidP="00D660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D660A2" w:rsidRPr="00304269" w:rsidRDefault="00D660A2" w:rsidP="00D660A2">
            <w:pPr>
              <w:jc w:val="both"/>
              <w:rPr>
                <w:rFonts w:ascii="Arial" w:hAnsi="Arial" w:cs="Arial"/>
                <w:color w:val="000000"/>
              </w:rPr>
            </w:pPr>
            <w:r w:rsidRPr="00304269">
              <w:rPr>
                <w:rFonts w:ascii="Arial" w:hAnsi="Arial" w:cs="Arial"/>
                <w:color w:val="000000"/>
              </w:rPr>
              <w:t>Main Street 1463 (Pty) Ltd And ACORP Gifts (Pty) Ltd</w:t>
            </w:r>
          </w:p>
        </w:tc>
        <w:tc>
          <w:tcPr>
            <w:tcW w:w="2873" w:type="dxa"/>
          </w:tcPr>
          <w:p w:rsidR="00D660A2" w:rsidRPr="00D660A2" w:rsidRDefault="00683D3C" w:rsidP="00D660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 without conditions</w:t>
            </w:r>
          </w:p>
        </w:tc>
      </w:tr>
    </w:tbl>
    <w:p w:rsidR="00D660A2" w:rsidRPr="00D660A2" w:rsidRDefault="00D660A2" w:rsidP="00D660A2">
      <w:pPr>
        <w:jc w:val="both"/>
        <w:rPr>
          <w:rFonts w:ascii="Arial" w:eastAsia="Calibri" w:hAnsi="Arial" w:cs="Arial"/>
          <w:b/>
          <w:lang w:val="en-ZA"/>
        </w:rPr>
      </w:pPr>
    </w:p>
    <w:p w:rsidR="00D660A2" w:rsidRPr="00D660A2" w:rsidRDefault="00D660A2" w:rsidP="00D660A2">
      <w:pPr>
        <w:jc w:val="both"/>
        <w:rPr>
          <w:rFonts w:ascii="Arial" w:hAnsi="Arial" w:cs="Arial"/>
          <w:lang w:val="en-ZA"/>
        </w:rPr>
      </w:pPr>
    </w:p>
    <w:p w:rsidR="00D660A2" w:rsidRDefault="00A414E6" w:rsidP="00D660A2">
      <w:pPr>
        <w:contextualSpacing/>
        <w:jc w:val="both"/>
        <w:rPr>
          <w:rFonts w:ascii="Arial" w:hAnsi="Arial" w:cs="Arial"/>
          <w:b/>
          <w:bCs/>
          <w:sz w:val="24"/>
          <w:szCs w:val="24"/>
          <w:lang w:val="en-ZA"/>
        </w:rPr>
      </w:pPr>
      <w:r>
        <w:rPr>
          <w:rFonts w:ascii="Arial" w:hAnsi="Arial" w:cs="Arial"/>
          <w:b/>
          <w:bCs/>
          <w:sz w:val="24"/>
          <w:szCs w:val="24"/>
          <w:lang w:val="en-ZA"/>
        </w:rPr>
        <w:t xml:space="preserve">Judgment reserved in </w:t>
      </w:r>
      <w:r w:rsidR="00EA5D6C">
        <w:rPr>
          <w:rFonts w:ascii="Arial" w:hAnsi="Arial" w:cs="Arial"/>
          <w:b/>
          <w:bCs/>
          <w:sz w:val="24"/>
          <w:szCs w:val="24"/>
          <w:lang w:val="en-ZA"/>
        </w:rPr>
        <w:t>RMH</w:t>
      </w:r>
      <w:r w:rsidR="00D660A2">
        <w:rPr>
          <w:rFonts w:ascii="Arial" w:hAnsi="Arial" w:cs="Arial"/>
          <w:b/>
          <w:bCs/>
          <w:sz w:val="24"/>
          <w:szCs w:val="24"/>
          <w:lang w:val="en-ZA"/>
        </w:rPr>
        <w:t xml:space="preserve"> and </w:t>
      </w:r>
      <w:proofErr w:type="spellStart"/>
      <w:r w:rsidR="00D660A2">
        <w:rPr>
          <w:rFonts w:ascii="Arial" w:hAnsi="Arial" w:cs="Arial"/>
          <w:b/>
          <w:bCs/>
          <w:sz w:val="24"/>
          <w:szCs w:val="24"/>
          <w:lang w:val="en-ZA"/>
        </w:rPr>
        <w:t>Propertuity</w:t>
      </w:r>
      <w:proofErr w:type="spellEnd"/>
      <w:r w:rsidR="00D660A2">
        <w:rPr>
          <w:rFonts w:ascii="Arial" w:hAnsi="Arial" w:cs="Arial"/>
          <w:b/>
          <w:bCs/>
          <w:sz w:val="24"/>
          <w:szCs w:val="24"/>
          <w:lang w:val="en-ZA"/>
        </w:rPr>
        <w:t xml:space="preserve"> Development </w:t>
      </w:r>
      <w:r>
        <w:rPr>
          <w:rFonts w:ascii="Arial" w:hAnsi="Arial" w:cs="Arial"/>
          <w:b/>
          <w:bCs/>
          <w:sz w:val="24"/>
          <w:szCs w:val="24"/>
          <w:lang w:val="en-ZA"/>
        </w:rPr>
        <w:t>merger matter</w:t>
      </w:r>
    </w:p>
    <w:p w:rsidR="00D660A2" w:rsidRDefault="00D660A2" w:rsidP="00D660A2">
      <w:pPr>
        <w:contextualSpacing/>
        <w:jc w:val="both"/>
        <w:rPr>
          <w:rFonts w:ascii="Arial" w:hAnsi="Arial" w:cs="Arial"/>
          <w:b/>
          <w:bCs/>
          <w:sz w:val="24"/>
          <w:szCs w:val="24"/>
          <w:lang w:val="en-ZA"/>
        </w:rPr>
      </w:pPr>
    </w:p>
    <w:p w:rsidR="00D660A2" w:rsidRPr="00D660A2" w:rsidRDefault="00D660A2" w:rsidP="00D660A2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  <w:r w:rsidRPr="00D660A2">
        <w:rPr>
          <w:rFonts w:ascii="Arial" w:hAnsi="Arial" w:cs="Arial"/>
          <w:bCs/>
          <w:sz w:val="24"/>
          <w:szCs w:val="24"/>
          <w:lang w:val="en-ZA"/>
        </w:rPr>
        <w:t xml:space="preserve">The Competition Tribunal </w:t>
      </w:r>
      <w:r w:rsidR="00A414E6">
        <w:rPr>
          <w:rFonts w:ascii="Arial" w:hAnsi="Arial" w:cs="Arial"/>
          <w:bCs/>
          <w:sz w:val="24"/>
          <w:szCs w:val="24"/>
          <w:lang w:val="en-ZA"/>
        </w:rPr>
        <w:t xml:space="preserve">has reserved judgment on the proposed merger </w:t>
      </w:r>
      <w:r w:rsidRPr="00D660A2">
        <w:rPr>
          <w:rFonts w:ascii="Arial" w:hAnsi="Arial" w:cs="Arial"/>
          <w:bCs/>
          <w:sz w:val="24"/>
          <w:szCs w:val="24"/>
          <w:lang w:val="en-ZA"/>
        </w:rPr>
        <w:t xml:space="preserve">between </w:t>
      </w:r>
      <w:r w:rsidRPr="00D660A2">
        <w:rPr>
          <w:rFonts w:ascii="Arial" w:hAnsi="Arial" w:cs="Arial"/>
          <w:sz w:val="24"/>
          <w:szCs w:val="24"/>
          <w:lang w:val="en-ZA"/>
        </w:rPr>
        <w:t>RMH and target company Propertuity, both focused investment companies.</w:t>
      </w:r>
      <w:r w:rsidR="00950681">
        <w:rPr>
          <w:rFonts w:ascii="Arial" w:hAnsi="Arial" w:cs="Arial"/>
          <w:sz w:val="24"/>
          <w:szCs w:val="24"/>
          <w:lang w:val="en-ZA"/>
        </w:rPr>
        <w:t xml:space="preserve"> It will issue its decision at a later date. </w:t>
      </w:r>
    </w:p>
    <w:p w:rsidR="00D660A2" w:rsidRDefault="00D660A2" w:rsidP="00D660A2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</w:p>
    <w:p w:rsidR="00D660A2" w:rsidRDefault="00D660A2" w:rsidP="00D660A2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RMH has a controlling interest in Atterbury Property Holdings, which is a property investment and development firm with a portfolio of properties and developments spread across office, commercial, residential and retail segments.</w:t>
      </w:r>
    </w:p>
    <w:p w:rsidR="00D660A2" w:rsidRDefault="00D660A2" w:rsidP="00D660A2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</w:p>
    <w:p w:rsidR="00D660A2" w:rsidRDefault="00D660A2" w:rsidP="00D660A2">
      <w:pPr>
        <w:spacing w:before="100" w:after="100"/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 xml:space="preserve">Propertuity is a property investment company with a focus on property development and regeneration in urban spaces. Propertuity holds interests in Johannesburg and Durban. These properties are located in the Gauteng and KwaZulu-Natal Provinces respectively. It has a portfolio of retail, residential, industrial, office, hotel, parking, storage </w:t>
      </w:r>
      <w:r w:rsidR="004C612C">
        <w:rPr>
          <w:rFonts w:ascii="Arial" w:hAnsi="Arial" w:cs="Arial"/>
          <w:sz w:val="24"/>
          <w:szCs w:val="24"/>
          <w:lang w:val="en-ZA"/>
        </w:rPr>
        <w:t xml:space="preserve">and </w:t>
      </w:r>
      <w:r>
        <w:rPr>
          <w:rFonts w:ascii="Arial" w:hAnsi="Arial" w:cs="Arial"/>
          <w:sz w:val="24"/>
          <w:szCs w:val="24"/>
          <w:lang w:val="en-ZA"/>
        </w:rPr>
        <w:t>studio properties.</w:t>
      </w:r>
    </w:p>
    <w:p w:rsidR="00D660A2" w:rsidRPr="00D660A2" w:rsidRDefault="00D660A2" w:rsidP="00D660A2">
      <w:pPr>
        <w:jc w:val="both"/>
        <w:rPr>
          <w:rFonts w:ascii="Arial" w:hAnsi="Arial" w:cs="Arial"/>
          <w:lang w:val="en-ZA"/>
        </w:rPr>
      </w:pPr>
    </w:p>
    <w:p w:rsidR="00D660A2" w:rsidRDefault="00514D9F" w:rsidP="004C612C">
      <w:pPr>
        <w:contextualSpacing/>
        <w:jc w:val="both"/>
        <w:rPr>
          <w:rFonts w:ascii="Arial" w:hAnsi="Arial" w:cs="Arial"/>
          <w:b/>
          <w:bCs/>
          <w:sz w:val="24"/>
          <w:szCs w:val="24"/>
          <w:lang w:val="en-ZA"/>
        </w:rPr>
      </w:pPr>
      <w:r>
        <w:rPr>
          <w:rFonts w:ascii="Arial" w:hAnsi="Arial" w:cs="Arial"/>
          <w:b/>
          <w:bCs/>
          <w:sz w:val="24"/>
          <w:szCs w:val="24"/>
          <w:lang w:val="en-ZA"/>
        </w:rPr>
        <w:t xml:space="preserve">Merger approved for </w:t>
      </w:r>
      <w:r w:rsidR="00D660A2">
        <w:rPr>
          <w:rFonts w:ascii="Arial" w:hAnsi="Arial" w:cs="Arial"/>
          <w:b/>
          <w:bCs/>
          <w:sz w:val="24"/>
          <w:szCs w:val="24"/>
          <w:lang w:val="en-ZA"/>
        </w:rPr>
        <w:t xml:space="preserve">BASF SE, Germany (BASF) and Rockwood Specialties Group GmbH (Rockwood), Germany and Chemetall U.S, Inc </w:t>
      </w:r>
    </w:p>
    <w:p w:rsidR="00A414E6" w:rsidRDefault="00A414E6" w:rsidP="004C612C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</w:p>
    <w:p w:rsidR="00D660A2" w:rsidRDefault="00D660A2" w:rsidP="004C612C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lastRenderedPageBreak/>
        <w:t xml:space="preserve">The </w:t>
      </w:r>
      <w:r w:rsidR="00A414E6">
        <w:rPr>
          <w:rFonts w:ascii="Arial" w:hAnsi="Arial" w:cs="Arial"/>
          <w:sz w:val="24"/>
          <w:szCs w:val="24"/>
          <w:lang w:val="en-ZA"/>
        </w:rPr>
        <w:t xml:space="preserve">Tribunal has approved, without conditions, the </w:t>
      </w:r>
      <w:r>
        <w:rPr>
          <w:rFonts w:ascii="Arial" w:hAnsi="Arial" w:cs="Arial"/>
          <w:sz w:val="24"/>
          <w:szCs w:val="24"/>
          <w:lang w:val="en-ZA"/>
        </w:rPr>
        <w:t>large merger whereby BASF intends to acquire Rockwood and Chemetall US.</w:t>
      </w:r>
    </w:p>
    <w:p w:rsidR="00D660A2" w:rsidRDefault="00D660A2" w:rsidP="004C612C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</w:p>
    <w:p w:rsidR="00D660A2" w:rsidRDefault="00D660A2" w:rsidP="004C612C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BASF is a global chemicals company</w:t>
      </w:r>
      <w:r w:rsidR="004C612C">
        <w:rPr>
          <w:rFonts w:ascii="Arial" w:hAnsi="Arial" w:cs="Arial"/>
          <w:sz w:val="24"/>
          <w:szCs w:val="24"/>
          <w:lang w:val="en-ZA"/>
        </w:rPr>
        <w:t xml:space="preserve">, listed in Germany, </w:t>
      </w:r>
      <w:r w:rsidR="00B15C68">
        <w:rPr>
          <w:rFonts w:ascii="Arial" w:hAnsi="Arial" w:cs="Arial"/>
          <w:sz w:val="24"/>
          <w:szCs w:val="24"/>
          <w:lang w:val="en-ZA"/>
        </w:rPr>
        <w:t>and is</w:t>
      </w:r>
      <w:r>
        <w:rPr>
          <w:rFonts w:ascii="Arial" w:hAnsi="Arial" w:cs="Arial"/>
          <w:sz w:val="24"/>
          <w:szCs w:val="24"/>
          <w:lang w:val="en-ZA"/>
        </w:rPr>
        <w:t xml:space="preserve"> involved in the development, manufacturing and sale of chemicals ranging from solvents, plasticizers, glues and electronic chemicals.</w:t>
      </w:r>
    </w:p>
    <w:p w:rsidR="004C612C" w:rsidRDefault="004C612C" w:rsidP="004C612C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</w:p>
    <w:p w:rsidR="00D660A2" w:rsidRDefault="00D660A2" w:rsidP="004C612C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Rockwood</w:t>
      </w:r>
      <w:r w:rsidR="004C612C">
        <w:rPr>
          <w:rFonts w:ascii="Arial" w:hAnsi="Arial" w:cs="Arial"/>
          <w:sz w:val="24"/>
          <w:szCs w:val="24"/>
          <w:lang w:val="en-ZA"/>
        </w:rPr>
        <w:t xml:space="preserve"> Specialities Group</w:t>
      </w:r>
      <w:r>
        <w:rPr>
          <w:rFonts w:ascii="Arial" w:hAnsi="Arial" w:cs="Arial"/>
          <w:sz w:val="24"/>
          <w:szCs w:val="24"/>
          <w:lang w:val="en-ZA"/>
        </w:rPr>
        <w:t xml:space="preserve"> is a developer, manufacturer and marketer of specialty chemicals and advanced materials used for industrial and commercial purposes.</w:t>
      </w:r>
      <w:r w:rsidR="004C612C">
        <w:rPr>
          <w:rFonts w:ascii="Arial" w:hAnsi="Arial" w:cs="Arial"/>
          <w:sz w:val="24"/>
          <w:szCs w:val="24"/>
          <w:lang w:val="en-ZA"/>
        </w:rPr>
        <w:t xml:space="preserve"> While </w:t>
      </w:r>
      <w:proofErr w:type="spellStart"/>
      <w:r w:rsidR="004C612C">
        <w:rPr>
          <w:rFonts w:ascii="Arial" w:hAnsi="Arial" w:cs="Arial"/>
          <w:sz w:val="24"/>
          <w:szCs w:val="24"/>
          <w:lang w:val="en-ZA"/>
        </w:rPr>
        <w:t>Chemetall</w:t>
      </w:r>
      <w:proofErr w:type="spellEnd"/>
      <w:r w:rsidR="004C612C">
        <w:rPr>
          <w:rFonts w:ascii="Arial" w:hAnsi="Arial" w:cs="Arial"/>
          <w:sz w:val="24"/>
          <w:szCs w:val="24"/>
          <w:lang w:val="en-ZA"/>
        </w:rPr>
        <w:t xml:space="preserve"> US</w:t>
      </w:r>
      <w:r w:rsidR="00A414E6">
        <w:rPr>
          <w:rFonts w:ascii="Arial" w:hAnsi="Arial" w:cs="Arial"/>
          <w:sz w:val="24"/>
          <w:szCs w:val="24"/>
          <w:lang w:val="en-ZA"/>
        </w:rPr>
        <w:t xml:space="preserve"> </w:t>
      </w:r>
      <w:r w:rsidR="00B15C68">
        <w:rPr>
          <w:rFonts w:ascii="Arial" w:hAnsi="Arial" w:cs="Arial"/>
          <w:sz w:val="24"/>
          <w:szCs w:val="24"/>
          <w:lang w:val="en-ZA"/>
        </w:rPr>
        <w:t>manufactures</w:t>
      </w:r>
      <w:r w:rsidR="004C612C">
        <w:rPr>
          <w:rFonts w:ascii="Arial" w:hAnsi="Arial" w:cs="Arial"/>
          <w:sz w:val="24"/>
          <w:szCs w:val="24"/>
          <w:lang w:val="en-ZA"/>
        </w:rPr>
        <w:t xml:space="preserve"> service treatment products for aerospace, aluminium and automotive industries. </w:t>
      </w:r>
    </w:p>
    <w:p w:rsidR="00D660A2" w:rsidRDefault="00D660A2" w:rsidP="004C612C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</w:p>
    <w:p w:rsidR="00D660A2" w:rsidRDefault="00D660A2" w:rsidP="004C612C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In South Africa, Chemetall SA develops and produces surface treatment products used to prepare the metal surface of a product prior to painting. These products are supplied to automotive components manufacturers, coils producers and cold forming customers.</w:t>
      </w:r>
    </w:p>
    <w:p w:rsidR="00D660A2" w:rsidRDefault="00D660A2" w:rsidP="004C612C">
      <w:pPr>
        <w:contextualSpacing/>
        <w:jc w:val="both"/>
        <w:rPr>
          <w:rFonts w:ascii="Arial" w:hAnsi="Arial" w:cs="Arial"/>
          <w:b/>
          <w:bCs/>
          <w:sz w:val="24"/>
          <w:szCs w:val="24"/>
          <w:lang w:val="en-ZA"/>
        </w:rPr>
      </w:pPr>
    </w:p>
    <w:p w:rsidR="00D660A2" w:rsidRPr="00683D3C" w:rsidRDefault="00D660A2" w:rsidP="00D660A2">
      <w:pPr>
        <w:spacing w:before="100" w:after="10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83D3C">
        <w:rPr>
          <w:rFonts w:ascii="Arial" w:hAnsi="Arial" w:cs="Arial"/>
          <w:b/>
          <w:color w:val="000000"/>
          <w:sz w:val="24"/>
          <w:szCs w:val="24"/>
        </w:rPr>
        <w:t>Main Street 1463 (Pty) Ltd And ACORP Gifts (Pty) Ltd</w:t>
      </w:r>
      <w:r w:rsidR="00514D9F">
        <w:rPr>
          <w:rFonts w:ascii="Arial" w:hAnsi="Arial" w:cs="Arial"/>
          <w:b/>
          <w:color w:val="000000"/>
          <w:sz w:val="24"/>
          <w:szCs w:val="24"/>
        </w:rPr>
        <w:t xml:space="preserve"> to merge</w:t>
      </w:r>
    </w:p>
    <w:p w:rsidR="00A414E6" w:rsidRDefault="00A414E6" w:rsidP="00D660A2">
      <w:pPr>
        <w:spacing w:before="100" w:after="100"/>
        <w:jc w:val="both"/>
        <w:rPr>
          <w:rFonts w:ascii="Arial" w:hAnsi="Arial" w:cs="Arial"/>
          <w:color w:val="000000"/>
          <w:sz w:val="24"/>
          <w:szCs w:val="24"/>
        </w:rPr>
      </w:pPr>
    </w:p>
    <w:p w:rsidR="00A414E6" w:rsidRDefault="00A414E6" w:rsidP="00D660A2">
      <w:pPr>
        <w:spacing w:before="100" w:after="1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Tribunal has approved the merger between acquiring company Main Street 1463 and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Acorp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83D3C" w:rsidRDefault="00A414E6" w:rsidP="00D660A2">
      <w:pPr>
        <w:spacing w:before="100" w:after="1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Main Street 1463 is </w:t>
      </w:r>
      <w:r w:rsidR="00683D3C">
        <w:rPr>
          <w:rFonts w:ascii="Arial" w:hAnsi="Arial" w:cs="Arial"/>
          <w:color w:val="000000"/>
          <w:sz w:val="24"/>
          <w:szCs w:val="24"/>
        </w:rPr>
        <w:t xml:space="preserve">ultimately controlled by Carlyle Group Management, a global alternative asset manager. </w:t>
      </w:r>
      <w:proofErr w:type="spellStart"/>
      <w:r w:rsidR="00B15C68">
        <w:rPr>
          <w:rFonts w:ascii="Arial" w:hAnsi="Arial" w:cs="Arial"/>
          <w:color w:val="000000"/>
          <w:sz w:val="24"/>
          <w:szCs w:val="24"/>
        </w:rPr>
        <w:t>Acorp</w:t>
      </w:r>
      <w:proofErr w:type="spellEnd"/>
      <w:r w:rsidR="00683D3C">
        <w:rPr>
          <w:rFonts w:ascii="Arial" w:hAnsi="Arial" w:cs="Arial"/>
          <w:color w:val="000000"/>
          <w:sz w:val="24"/>
          <w:szCs w:val="24"/>
        </w:rPr>
        <w:t xml:space="preserve"> is a wholesale supplier of branded and promotional products such as lanyards and bags and umbrellas.</w:t>
      </w:r>
    </w:p>
    <w:p w:rsidR="00683D3C" w:rsidRDefault="00683D3C" w:rsidP="00D660A2">
      <w:pPr>
        <w:spacing w:before="100" w:after="100"/>
        <w:jc w:val="both"/>
        <w:rPr>
          <w:rFonts w:ascii="Arial" w:hAnsi="Arial" w:cs="Arial"/>
          <w:color w:val="000000"/>
          <w:sz w:val="24"/>
          <w:szCs w:val="24"/>
        </w:rPr>
      </w:pPr>
    </w:p>
    <w:p w:rsidR="00D660A2" w:rsidRDefault="00683D3C" w:rsidP="00D660A2">
      <w:pPr>
        <w:spacing w:before="100" w:after="1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merger will see Main Street Acquire control of Acorp. </w:t>
      </w:r>
    </w:p>
    <w:p w:rsidR="00A414E6" w:rsidRPr="00A414E6" w:rsidRDefault="00A414E6" w:rsidP="00D660A2">
      <w:pPr>
        <w:spacing w:before="100" w:after="100"/>
        <w:jc w:val="both"/>
        <w:rPr>
          <w:rFonts w:ascii="Arial" w:hAnsi="Arial" w:cs="Arial"/>
          <w:color w:val="000000"/>
          <w:sz w:val="24"/>
          <w:szCs w:val="24"/>
        </w:rPr>
      </w:pP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Issued by:</w:t>
      </w:r>
    </w:p>
    <w:p w:rsidR="00D660A2" w:rsidRPr="00D660A2" w:rsidRDefault="00D660A2" w:rsidP="00D660A2">
      <w:pPr>
        <w:jc w:val="both"/>
        <w:rPr>
          <w:rFonts w:ascii="Arial" w:hAnsi="Arial" w:cs="Arial"/>
          <w:color w:val="000000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Chantelle Benjamin</w:t>
      </w:r>
    </w:p>
    <w:p w:rsidR="00D660A2" w:rsidRPr="00D660A2" w:rsidRDefault="00D660A2" w:rsidP="00D660A2">
      <w:pPr>
        <w:jc w:val="both"/>
        <w:rPr>
          <w:rFonts w:ascii="Arial" w:hAnsi="Arial" w:cs="Arial"/>
          <w:color w:val="000000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Communications: Competition Tribunal</w:t>
      </w:r>
    </w:p>
    <w:p w:rsidR="00D660A2" w:rsidRPr="00D660A2" w:rsidRDefault="00D660A2" w:rsidP="00D660A2">
      <w:pPr>
        <w:jc w:val="both"/>
        <w:rPr>
          <w:rFonts w:ascii="Arial" w:hAnsi="Arial" w:cs="Arial"/>
          <w:color w:val="000000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Tel (012)394 1383</w:t>
      </w:r>
    </w:p>
    <w:p w:rsidR="00D660A2" w:rsidRPr="00D660A2" w:rsidRDefault="00D660A2" w:rsidP="00D660A2">
      <w:pPr>
        <w:jc w:val="both"/>
        <w:rPr>
          <w:rFonts w:ascii="Arial" w:hAnsi="Arial" w:cs="Arial"/>
          <w:color w:val="000000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Cell: +27 (0) 73 007 5603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Twitter: @comptrib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 xml:space="preserve">E-Mail: </w:t>
      </w:r>
      <w:hyperlink r:id="rId5" w:history="1">
        <w:r w:rsidRPr="00B15C68">
          <w:rPr>
            <w:rFonts w:ascii="Arial" w:hAnsi="Arial" w:cs="Arial"/>
            <w:color w:val="0000FF"/>
            <w:sz w:val="24"/>
            <w:szCs w:val="24"/>
            <w:u w:val="single"/>
            <w:lang w:val="en-ZA" w:eastAsia="en-ZA"/>
          </w:rPr>
          <w:t>chantelleb@comptrib.co.za</w:t>
        </w:r>
      </w:hyperlink>
    </w:p>
    <w:p w:rsidR="00D660A2" w:rsidRPr="00D660A2" w:rsidRDefault="00D660A2" w:rsidP="00D660A2">
      <w:pPr>
        <w:jc w:val="both"/>
        <w:rPr>
          <w:rFonts w:ascii="Arial" w:hAnsi="Arial" w:cs="Arial"/>
          <w:color w:val="000000"/>
          <w:sz w:val="24"/>
          <w:szCs w:val="24"/>
          <w:lang w:val="en-ZA"/>
        </w:rPr>
      </w:pPr>
    </w:p>
    <w:p w:rsidR="00D660A2" w:rsidRPr="00D660A2" w:rsidRDefault="00D660A2" w:rsidP="00D660A2">
      <w:pPr>
        <w:jc w:val="both"/>
        <w:rPr>
          <w:rFonts w:ascii="Arial" w:hAnsi="Arial" w:cs="Arial"/>
          <w:color w:val="000000"/>
          <w:sz w:val="24"/>
          <w:szCs w:val="24"/>
          <w:lang w:val="en-ZA"/>
        </w:rPr>
      </w:pP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On Behalf Of: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Lerato Motaung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Registrar: Competition Tribunal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Tel: (012) 394 3355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Cell: +27 (0) 82 556 3221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 xml:space="preserve">E-Mail: </w:t>
      </w:r>
      <w:hyperlink r:id="rId6" w:history="1">
        <w:r w:rsidRPr="00B15C68">
          <w:rPr>
            <w:rFonts w:ascii="Arial" w:hAnsi="Arial" w:cs="Arial"/>
            <w:color w:val="0000FF"/>
            <w:sz w:val="24"/>
            <w:szCs w:val="24"/>
            <w:u w:val="single"/>
            <w:lang w:val="en-ZA" w:eastAsia="en-ZA"/>
          </w:rPr>
          <w:t>LeratoM@comptrib.co.za</w:t>
        </w:r>
      </w:hyperlink>
    </w:p>
    <w:p w:rsidR="003E6D12" w:rsidRDefault="004267FB"/>
    <w:sectPr w:rsidR="003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7B"/>
    <w:rsid w:val="002A5A09"/>
    <w:rsid w:val="00304269"/>
    <w:rsid w:val="004755EC"/>
    <w:rsid w:val="004C612C"/>
    <w:rsid w:val="00514D9F"/>
    <w:rsid w:val="00683D3C"/>
    <w:rsid w:val="00950681"/>
    <w:rsid w:val="00A414E6"/>
    <w:rsid w:val="00AE6F03"/>
    <w:rsid w:val="00B15C68"/>
    <w:rsid w:val="00BA09C7"/>
    <w:rsid w:val="00D660A2"/>
    <w:rsid w:val="00DC327B"/>
    <w:rsid w:val="00EA5D6C"/>
    <w:rsid w:val="00F1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AF4DB-50DD-43A5-8EBE-800CF22F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27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0A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file:///C:\Users\AlistairV\AppData\Local\Microsoft\Windows\Temporary%20Internet%20Files\Content.Outlook\HMBET88G\chantelleb@comptrib.co.z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Gillian De Gouveia</cp:lastModifiedBy>
  <cp:revision>2</cp:revision>
  <dcterms:created xsi:type="dcterms:W3CDTF">2019-04-24T17:59:00Z</dcterms:created>
  <dcterms:modified xsi:type="dcterms:W3CDTF">2019-04-24T17:59:00Z</dcterms:modified>
</cp:coreProperties>
</file>