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26395" w14:textId="77777777" w:rsidR="00B464E6" w:rsidRPr="00B464E6" w:rsidRDefault="00B464E6" w:rsidP="00B464E6">
      <w:pPr>
        <w:spacing w:after="0" w:line="240" w:lineRule="auto"/>
        <w:jc w:val="center"/>
        <w:rPr>
          <w:rFonts w:ascii="Calibri" w:eastAsia="Times New Roman" w:hAnsi="Calibri" w:cs="Calibri"/>
          <w:lang w:val="en-US" w:eastAsia="en-ZA"/>
        </w:rPr>
      </w:pPr>
      <w:r w:rsidRPr="00B464E6">
        <w:rPr>
          <w:rFonts w:ascii="Arial" w:eastAsia="Times New Roman" w:hAnsi="Arial" w:cs="Arial"/>
          <w:b/>
          <w:bCs/>
          <w:lang w:val="en-US" w:eastAsia="en-ZA"/>
        </w:rPr>
        <w:t>TRIBUNAL MATTER HEARD ON WEDNESDAY, 15 DECEMBER 2016</w:t>
      </w:r>
    </w:p>
    <w:p w14:paraId="49D30CFE"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lang w:val="en-US" w:eastAsia="en-ZA"/>
        </w:rPr>
        <w:t> </w:t>
      </w:r>
    </w:p>
    <w:p w14:paraId="43EB4E95" w14:textId="30FDC97D"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b/>
          <w:bCs/>
          <w:lang w:val="en-US" w:eastAsia="en-ZA"/>
        </w:rPr>
        <w:t> </w:t>
      </w:r>
      <w:r w:rsidRPr="00B464E6">
        <w:rPr>
          <w:rFonts w:ascii="Arial" w:eastAsia="Times New Roman" w:hAnsi="Arial" w:cs="Arial"/>
          <w:lang w:val="en-US" w:eastAsia="en-ZA"/>
        </w:rPr>
        <w:t> </w:t>
      </w:r>
    </w:p>
    <w:tbl>
      <w:tblPr>
        <w:tblW w:w="9350" w:type="dxa"/>
        <w:tblCellMar>
          <w:left w:w="0" w:type="dxa"/>
          <w:right w:w="0" w:type="dxa"/>
        </w:tblCellMar>
        <w:tblLook w:val="04A0" w:firstRow="1" w:lastRow="0" w:firstColumn="1" w:lastColumn="0" w:noHBand="0" w:noVBand="1"/>
      </w:tblPr>
      <w:tblGrid>
        <w:gridCol w:w="2379"/>
        <w:gridCol w:w="2493"/>
        <w:gridCol w:w="2521"/>
        <w:gridCol w:w="1957"/>
      </w:tblGrid>
      <w:tr w:rsidR="00B464E6" w:rsidRPr="00B464E6" w14:paraId="71185618" w14:textId="77777777" w:rsidTr="00B464E6">
        <w:trPr>
          <w:trHeight w:val="972"/>
        </w:trPr>
        <w:tc>
          <w:tcPr>
            <w:tcW w:w="2379"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3532738F" w14:textId="77777777" w:rsidR="00B464E6" w:rsidRPr="00B464E6" w:rsidRDefault="00B464E6" w:rsidP="00B464E6">
            <w:pPr>
              <w:spacing w:after="0" w:line="240" w:lineRule="auto"/>
              <w:rPr>
                <w:rFonts w:ascii="Calibri" w:eastAsia="Times New Roman" w:hAnsi="Calibri" w:cs="Calibri"/>
                <w:lang w:eastAsia="en-ZA"/>
              </w:rPr>
            </w:pPr>
            <w:r w:rsidRPr="00B464E6">
              <w:rPr>
                <w:rFonts w:ascii="Arial" w:eastAsia="Times New Roman" w:hAnsi="Arial" w:cs="Arial"/>
                <w:color w:val="FFFFFF"/>
                <w:lang w:eastAsia="en-ZA"/>
              </w:rPr>
              <w:t>Type of matter</w:t>
            </w:r>
          </w:p>
        </w:tc>
        <w:tc>
          <w:tcPr>
            <w:tcW w:w="2493"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6B880F16" w14:textId="77777777" w:rsidR="00B464E6" w:rsidRPr="00B464E6" w:rsidRDefault="00B464E6" w:rsidP="00B464E6">
            <w:pPr>
              <w:spacing w:after="0" w:line="240" w:lineRule="auto"/>
              <w:rPr>
                <w:rFonts w:ascii="Calibri" w:eastAsia="Times New Roman" w:hAnsi="Calibri" w:cs="Calibri"/>
                <w:lang w:eastAsia="en-ZA"/>
              </w:rPr>
            </w:pPr>
            <w:r w:rsidRPr="00B464E6">
              <w:rPr>
                <w:rFonts w:ascii="Arial" w:eastAsia="Times New Roman" w:hAnsi="Arial" w:cs="Arial"/>
                <w:color w:val="FFFFFF"/>
                <w:lang w:eastAsia="en-ZA"/>
              </w:rPr>
              <w:t>Parties involved</w:t>
            </w:r>
          </w:p>
        </w:tc>
        <w:tc>
          <w:tcPr>
            <w:tcW w:w="2521"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5DB7AC89" w14:textId="77777777" w:rsidR="00B464E6" w:rsidRPr="00B464E6" w:rsidRDefault="00B464E6" w:rsidP="00B464E6">
            <w:pPr>
              <w:spacing w:after="0" w:line="240" w:lineRule="auto"/>
              <w:rPr>
                <w:rFonts w:ascii="Calibri" w:eastAsia="Times New Roman" w:hAnsi="Calibri" w:cs="Calibri"/>
                <w:lang w:eastAsia="en-ZA"/>
              </w:rPr>
            </w:pPr>
            <w:r w:rsidRPr="00B464E6">
              <w:rPr>
                <w:rFonts w:ascii="Arial" w:eastAsia="Times New Roman" w:hAnsi="Arial" w:cs="Arial"/>
                <w:color w:val="FFFFFF"/>
                <w:lang w:eastAsia="en-ZA"/>
              </w:rPr>
              <w:t>Competition Commission’s recommendation to Tribunal</w:t>
            </w:r>
          </w:p>
        </w:tc>
        <w:tc>
          <w:tcPr>
            <w:tcW w:w="1957"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6A62F330" w14:textId="77777777" w:rsidR="00B464E6" w:rsidRPr="00B464E6" w:rsidRDefault="00B464E6" w:rsidP="00B464E6">
            <w:pPr>
              <w:spacing w:after="0" w:line="240" w:lineRule="auto"/>
              <w:rPr>
                <w:rFonts w:ascii="Calibri" w:eastAsia="Times New Roman" w:hAnsi="Calibri" w:cs="Calibri"/>
                <w:lang w:eastAsia="en-ZA"/>
              </w:rPr>
            </w:pPr>
            <w:r w:rsidRPr="00B464E6">
              <w:rPr>
                <w:rFonts w:ascii="Arial" w:eastAsia="Times New Roman" w:hAnsi="Arial" w:cs="Arial"/>
                <w:color w:val="FFFFFF"/>
                <w:lang w:eastAsia="en-ZA"/>
              </w:rPr>
              <w:t>Competition Commission decision</w:t>
            </w:r>
          </w:p>
        </w:tc>
      </w:tr>
      <w:tr w:rsidR="00B464E6" w:rsidRPr="00B464E6" w14:paraId="5039E92A" w14:textId="77777777" w:rsidTr="00B464E6">
        <w:trPr>
          <w:trHeight w:val="493"/>
        </w:trPr>
        <w:tc>
          <w:tcPr>
            <w:tcW w:w="2379"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DABD8DE" w14:textId="77777777" w:rsidR="00B464E6" w:rsidRPr="00B464E6" w:rsidRDefault="00B464E6" w:rsidP="00B464E6">
            <w:pPr>
              <w:spacing w:after="0" w:line="240" w:lineRule="auto"/>
              <w:jc w:val="both"/>
              <w:rPr>
                <w:rFonts w:ascii="Calibri" w:eastAsia="Times New Roman" w:hAnsi="Calibri" w:cs="Calibri"/>
                <w:lang w:eastAsia="en-ZA"/>
              </w:rPr>
            </w:pPr>
            <w:r w:rsidRPr="00B464E6">
              <w:rPr>
                <w:rFonts w:ascii="Arial" w:eastAsia="Times New Roman" w:hAnsi="Arial" w:cs="Arial"/>
                <w:lang w:eastAsia="en-ZA"/>
              </w:rPr>
              <w:t>Large merger</w:t>
            </w:r>
          </w:p>
        </w:tc>
        <w:tc>
          <w:tcPr>
            <w:tcW w:w="2493" w:type="dxa"/>
            <w:tcBorders>
              <w:top w:val="nil"/>
              <w:left w:val="nil"/>
              <w:bottom w:val="single" w:sz="8" w:space="0" w:color="996633"/>
              <w:right w:val="single" w:sz="8" w:space="0" w:color="996633"/>
            </w:tcBorders>
            <w:tcMar>
              <w:top w:w="0" w:type="dxa"/>
              <w:left w:w="108" w:type="dxa"/>
              <w:bottom w:w="0" w:type="dxa"/>
              <w:right w:w="108" w:type="dxa"/>
            </w:tcMar>
            <w:hideMark/>
          </w:tcPr>
          <w:p w14:paraId="54ABAA1E" w14:textId="77777777" w:rsidR="00B464E6" w:rsidRPr="00B464E6" w:rsidRDefault="00B464E6" w:rsidP="00B464E6">
            <w:pPr>
              <w:spacing w:after="0" w:line="240" w:lineRule="auto"/>
              <w:jc w:val="both"/>
              <w:rPr>
                <w:rFonts w:ascii="Calibri" w:eastAsia="Times New Roman" w:hAnsi="Calibri" w:cs="Calibri"/>
                <w:lang w:eastAsia="en-ZA"/>
              </w:rPr>
            </w:pPr>
            <w:proofErr w:type="spellStart"/>
            <w:r w:rsidRPr="00B464E6">
              <w:rPr>
                <w:rFonts w:ascii="Arial Narrow" w:eastAsia="Times New Roman" w:hAnsi="Arial Narrow" w:cs="Calibri"/>
                <w:color w:val="000000"/>
                <w:lang w:eastAsia="en-ZA"/>
              </w:rPr>
              <w:t>Kgalagadi</w:t>
            </w:r>
            <w:proofErr w:type="spellEnd"/>
            <w:r w:rsidRPr="00B464E6">
              <w:rPr>
                <w:rFonts w:ascii="Arial Narrow" w:eastAsia="Times New Roman" w:hAnsi="Arial Narrow" w:cs="Calibri"/>
                <w:color w:val="000000"/>
                <w:lang w:eastAsia="en-ZA"/>
              </w:rPr>
              <w:t xml:space="preserve"> Alloys (Pty) Ltd And Kalagadi Manganese (Pty) Ltd</w:t>
            </w:r>
          </w:p>
        </w:tc>
        <w:tc>
          <w:tcPr>
            <w:tcW w:w="2521" w:type="dxa"/>
            <w:tcBorders>
              <w:top w:val="nil"/>
              <w:left w:val="nil"/>
              <w:bottom w:val="single" w:sz="8" w:space="0" w:color="996633"/>
              <w:right w:val="single" w:sz="8" w:space="0" w:color="996633"/>
            </w:tcBorders>
            <w:tcMar>
              <w:top w:w="0" w:type="dxa"/>
              <w:left w:w="108" w:type="dxa"/>
              <w:bottom w:w="0" w:type="dxa"/>
              <w:right w:w="108" w:type="dxa"/>
            </w:tcMar>
            <w:hideMark/>
          </w:tcPr>
          <w:p w14:paraId="58AA2933" w14:textId="77777777" w:rsidR="00B464E6" w:rsidRPr="00B464E6" w:rsidRDefault="00B464E6" w:rsidP="00B464E6">
            <w:pPr>
              <w:spacing w:after="0" w:line="240" w:lineRule="auto"/>
              <w:jc w:val="both"/>
              <w:rPr>
                <w:rFonts w:ascii="Calibri" w:eastAsia="Times New Roman" w:hAnsi="Calibri" w:cs="Calibri"/>
                <w:lang w:eastAsia="en-ZA"/>
              </w:rPr>
            </w:pPr>
            <w:r w:rsidRPr="00B464E6">
              <w:rPr>
                <w:rFonts w:ascii="Arial" w:eastAsia="Times New Roman" w:hAnsi="Arial" w:cs="Arial"/>
                <w:lang w:eastAsia="en-ZA"/>
              </w:rPr>
              <w:t>Approval without conditions</w:t>
            </w:r>
          </w:p>
        </w:tc>
        <w:tc>
          <w:tcPr>
            <w:tcW w:w="1957" w:type="dxa"/>
            <w:tcBorders>
              <w:top w:val="nil"/>
              <w:left w:val="nil"/>
              <w:bottom w:val="single" w:sz="8" w:space="0" w:color="996633"/>
              <w:right w:val="single" w:sz="8" w:space="0" w:color="996633"/>
            </w:tcBorders>
            <w:tcMar>
              <w:top w:w="0" w:type="dxa"/>
              <w:left w:w="108" w:type="dxa"/>
              <w:bottom w:w="0" w:type="dxa"/>
              <w:right w:w="108" w:type="dxa"/>
            </w:tcMar>
            <w:hideMark/>
          </w:tcPr>
          <w:p w14:paraId="12FB5D60" w14:textId="77777777" w:rsidR="00B464E6" w:rsidRPr="00B464E6" w:rsidRDefault="00B464E6" w:rsidP="00B464E6">
            <w:pPr>
              <w:spacing w:after="0" w:line="240" w:lineRule="auto"/>
              <w:jc w:val="both"/>
              <w:rPr>
                <w:rFonts w:ascii="Calibri" w:eastAsia="Times New Roman" w:hAnsi="Calibri" w:cs="Calibri"/>
                <w:lang w:eastAsia="en-ZA"/>
              </w:rPr>
            </w:pPr>
            <w:r w:rsidRPr="00B464E6">
              <w:rPr>
                <w:rFonts w:ascii="Arial" w:eastAsia="Times New Roman" w:hAnsi="Arial" w:cs="Arial"/>
                <w:lang w:eastAsia="en-ZA"/>
              </w:rPr>
              <w:t xml:space="preserve">Approval without conditions </w:t>
            </w:r>
          </w:p>
        </w:tc>
      </w:tr>
    </w:tbl>
    <w:p w14:paraId="58B2E06D"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b/>
          <w:bCs/>
          <w:sz w:val="24"/>
          <w:szCs w:val="24"/>
          <w:lang w:eastAsia="en-ZA"/>
        </w:rPr>
        <w:t> </w:t>
      </w:r>
    </w:p>
    <w:p w14:paraId="61588C37"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b/>
          <w:bCs/>
          <w:sz w:val="24"/>
          <w:szCs w:val="24"/>
          <w:lang w:val="en-US" w:eastAsia="en-ZA"/>
        </w:rPr>
        <w:t xml:space="preserve">Proposed merger approved between </w:t>
      </w:r>
      <w:proofErr w:type="spellStart"/>
      <w:r w:rsidRPr="00B464E6">
        <w:rPr>
          <w:rFonts w:ascii="Arial" w:eastAsia="Times New Roman" w:hAnsi="Arial" w:cs="Arial"/>
          <w:b/>
          <w:bCs/>
          <w:sz w:val="24"/>
          <w:szCs w:val="24"/>
          <w:lang w:val="en-US" w:eastAsia="en-ZA"/>
        </w:rPr>
        <w:t>Kgalagadi</w:t>
      </w:r>
      <w:proofErr w:type="spellEnd"/>
      <w:r w:rsidRPr="00B464E6">
        <w:rPr>
          <w:rFonts w:ascii="Arial" w:eastAsia="Times New Roman" w:hAnsi="Arial" w:cs="Arial"/>
          <w:b/>
          <w:bCs/>
          <w:sz w:val="24"/>
          <w:szCs w:val="24"/>
          <w:lang w:val="en-US" w:eastAsia="en-ZA"/>
        </w:rPr>
        <w:t xml:space="preserve"> Alloys and Kalagadi Manganese </w:t>
      </w:r>
    </w:p>
    <w:p w14:paraId="1D07F2EC"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sz w:val="24"/>
          <w:szCs w:val="24"/>
          <w:lang w:val="en-US" w:eastAsia="en-ZA"/>
        </w:rPr>
        <w:t> </w:t>
      </w:r>
    </w:p>
    <w:p w14:paraId="54FF1283" w14:textId="067B52B6"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sz w:val="24"/>
          <w:szCs w:val="24"/>
          <w:lang w:val="en-US" w:eastAsia="en-ZA"/>
        </w:rPr>
        <w:t xml:space="preserve">The Competition Tribunal has approved the merger between </w:t>
      </w:r>
      <w:proofErr w:type="spellStart"/>
      <w:r w:rsidRPr="00B464E6">
        <w:rPr>
          <w:rFonts w:ascii="Arial" w:eastAsia="Times New Roman" w:hAnsi="Arial" w:cs="Arial"/>
          <w:sz w:val="24"/>
          <w:szCs w:val="24"/>
          <w:lang w:val="en-US" w:eastAsia="en-ZA"/>
        </w:rPr>
        <w:t>Kgalagadi</w:t>
      </w:r>
      <w:proofErr w:type="spellEnd"/>
      <w:r w:rsidRPr="00B464E6">
        <w:rPr>
          <w:rFonts w:ascii="Arial" w:eastAsia="Times New Roman" w:hAnsi="Arial" w:cs="Arial"/>
          <w:sz w:val="24"/>
          <w:szCs w:val="24"/>
          <w:lang w:val="en-US" w:eastAsia="en-ZA"/>
        </w:rPr>
        <w:t xml:space="preserve"> Alloys and Kalagadi Manganese be approved without conditions. The merger will see </w:t>
      </w:r>
      <w:bookmarkStart w:id="0" w:name="_GoBack"/>
      <w:bookmarkEnd w:id="0"/>
      <w:proofErr w:type="spellStart"/>
      <w:r w:rsidRPr="00B464E6">
        <w:rPr>
          <w:rFonts w:ascii="Arial" w:eastAsia="Times New Roman" w:hAnsi="Arial" w:cs="Arial"/>
          <w:sz w:val="24"/>
          <w:szCs w:val="24"/>
          <w:lang w:val="en-US" w:eastAsia="en-ZA"/>
        </w:rPr>
        <w:t>Kgalagadi</w:t>
      </w:r>
      <w:proofErr w:type="spellEnd"/>
      <w:r w:rsidRPr="00B464E6">
        <w:rPr>
          <w:rFonts w:ascii="Arial" w:eastAsia="Times New Roman" w:hAnsi="Arial" w:cs="Arial"/>
          <w:sz w:val="24"/>
          <w:szCs w:val="24"/>
          <w:lang w:val="en-US" w:eastAsia="en-ZA"/>
        </w:rPr>
        <w:t xml:space="preserve"> Alloys acquire Kalagadi Manganese.</w:t>
      </w:r>
    </w:p>
    <w:p w14:paraId="58761011"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sz w:val="24"/>
          <w:szCs w:val="24"/>
          <w:lang w:val="en-US" w:eastAsia="en-ZA"/>
        </w:rPr>
        <w:t> </w:t>
      </w:r>
    </w:p>
    <w:p w14:paraId="44534C45" w14:textId="77777777" w:rsidR="00B464E6" w:rsidRPr="00B464E6" w:rsidRDefault="00B464E6" w:rsidP="00B464E6">
      <w:pPr>
        <w:spacing w:after="0" w:line="240" w:lineRule="auto"/>
        <w:jc w:val="both"/>
        <w:rPr>
          <w:rFonts w:ascii="Calibri" w:eastAsia="Times New Roman" w:hAnsi="Calibri" w:cs="Calibri"/>
          <w:lang w:val="en-US" w:eastAsia="en-ZA"/>
        </w:rPr>
      </w:pPr>
      <w:proofErr w:type="spellStart"/>
      <w:r w:rsidRPr="00B464E6">
        <w:rPr>
          <w:rFonts w:ascii="Arial" w:eastAsia="Times New Roman" w:hAnsi="Arial" w:cs="Arial"/>
          <w:sz w:val="24"/>
          <w:szCs w:val="24"/>
          <w:lang w:val="en-US" w:eastAsia="en-ZA"/>
        </w:rPr>
        <w:t>Kgalagadi</w:t>
      </w:r>
      <w:proofErr w:type="spellEnd"/>
      <w:r w:rsidRPr="00B464E6">
        <w:rPr>
          <w:rFonts w:ascii="Arial" w:eastAsia="Times New Roman" w:hAnsi="Arial" w:cs="Arial"/>
          <w:sz w:val="24"/>
          <w:szCs w:val="24"/>
          <w:lang w:val="en-US" w:eastAsia="en-ZA"/>
        </w:rPr>
        <w:t xml:space="preserve"> Alloys is a shelf company which has no operations or business activities. Kalagadi Manganese owns new order mining rights covering an area of approximately 6,300 hectares and spanning three farms in the Kalahari Basin.</w:t>
      </w:r>
    </w:p>
    <w:p w14:paraId="4AA1C2B7"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sz w:val="24"/>
          <w:szCs w:val="24"/>
          <w:lang w:val="en-US" w:eastAsia="en-ZA"/>
        </w:rPr>
        <w:t> </w:t>
      </w:r>
    </w:p>
    <w:p w14:paraId="3AB7C38B"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sz w:val="24"/>
          <w:szCs w:val="24"/>
          <w:lang w:val="en-US" w:eastAsia="en-ZA"/>
        </w:rPr>
        <w:t xml:space="preserve">The Commission said at the hearing that the proposed transaction was unlikely to substantially prevent or lessen competition in any market or result in job losses. </w:t>
      </w:r>
    </w:p>
    <w:p w14:paraId="36D575E7"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sz w:val="24"/>
          <w:szCs w:val="24"/>
          <w:lang w:val="en-US" w:eastAsia="en-ZA"/>
        </w:rPr>
        <w:t> </w:t>
      </w:r>
    </w:p>
    <w:p w14:paraId="3618E08E" w14:textId="28CAC885"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sz w:val="24"/>
          <w:szCs w:val="24"/>
          <w:lang w:val="en-US" w:eastAsia="en-ZA"/>
        </w:rPr>
        <w:t>Heard on December 15, the issuing of this merger’s order was delayed for further submissions to be made by the Commission and the Merging parties.</w:t>
      </w:r>
    </w:p>
    <w:p w14:paraId="736B85EB"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b/>
          <w:bCs/>
          <w:lang w:val="en-US" w:eastAsia="en-ZA"/>
        </w:rPr>
        <w:t> </w:t>
      </w:r>
    </w:p>
    <w:p w14:paraId="7EFD7C82"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lang w:val="en-US" w:eastAsia="en-ZA"/>
        </w:rPr>
        <w:t> </w:t>
      </w:r>
    </w:p>
    <w:p w14:paraId="5D9E760B"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 xml:space="preserve">Issued by: </w:t>
      </w:r>
    </w:p>
    <w:p w14:paraId="232376B7"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 xml:space="preserve">Chantelle Benjamin </w:t>
      </w:r>
    </w:p>
    <w:p w14:paraId="228E017B"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Communications: Competition Tribunal   </w:t>
      </w:r>
    </w:p>
    <w:p w14:paraId="3CDB8B99"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 xml:space="preserve">Tel (012)394 1383                                      </w:t>
      </w:r>
    </w:p>
    <w:p w14:paraId="4D874419"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Cell: +27 (0) 73 007 5603  </w:t>
      </w:r>
    </w:p>
    <w:p w14:paraId="594C52EA"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Twitter: @</w:t>
      </w:r>
      <w:proofErr w:type="spellStart"/>
      <w:r w:rsidRPr="00B464E6">
        <w:rPr>
          <w:rFonts w:ascii="Arial" w:eastAsia="Times New Roman" w:hAnsi="Arial" w:cs="Arial"/>
          <w:color w:val="000000"/>
          <w:lang w:val="en-US" w:eastAsia="en-ZA"/>
        </w:rPr>
        <w:t>comptrib</w:t>
      </w:r>
      <w:proofErr w:type="spellEnd"/>
      <w:r w:rsidRPr="00B464E6">
        <w:rPr>
          <w:rFonts w:ascii="Arial" w:eastAsia="Times New Roman" w:hAnsi="Arial" w:cs="Arial"/>
          <w:color w:val="000000"/>
          <w:lang w:val="en-US" w:eastAsia="en-ZA"/>
        </w:rPr>
        <w:t xml:space="preserve">                                        </w:t>
      </w:r>
    </w:p>
    <w:p w14:paraId="6015C10F"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 xml:space="preserve">E-Mail: </w:t>
      </w:r>
      <w:hyperlink r:id="rId4" w:history="1">
        <w:r w:rsidRPr="00B464E6">
          <w:rPr>
            <w:rFonts w:ascii="Arial" w:eastAsia="Times New Roman" w:hAnsi="Arial" w:cs="Arial"/>
            <w:color w:val="0563C1"/>
            <w:u w:val="single"/>
            <w:lang w:val="en-US" w:eastAsia="en-ZA"/>
          </w:rPr>
          <w:t>chantelleb@comptrib.co.za</w:t>
        </w:r>
      </w:hyperlink>
      <w:r w:rsidRPr="00B464E6">
        <w:rPr>
          <w:rFonts w:ascii="Arial" w:eastAsia="Times New Roman" w:hAnsi="Arial" w:cs="Arial"/>
          <w:lang w:val="en-US" w:eastAsia="en-ZA"/>
        </w:rPr>
        <w:t xml:space="preserve"> </w:t>
      </w:r>
    </w:p>
    <w:p w14:paraId="3D9C456D"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 </w:t>
      </w:r>
    </w:p>
    <w:p w14:paraId="2F202C6F"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 </w:t>
      </w:r>
    </w:p>
    <w:p w14:paraId="00555CE5"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On Behalf Of:</w:t>
      </w:r>
    </w:p>
    <w:p w14:paraId="65D96401"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Lerato Motaung                                                   </w:t>
      </w:r>
    </w:p>
    <w:p w14:paraId="5FDE57A6"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 xml:space="preserve">Registrar: Competition Tribunal                                         </w:t>
      </w:r>
    </w:p>
    <w:p w14:paraId="6FD568FF"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 xml:space="preserve">Tel: (012) 394 3355                                              </w:t>
      </w:r>
    </w:p>
    <w:p w14:paraId="6929FBD7"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 xml:space="preserve">Cell: +27 (0) 82 556 3221                                               </w:t>
      </w:r>
    </w:p>
    <w:p w14:paraId="0AAF5507" w14:textId="77777777" w:rsidR="00B464E6" w:rsidRPr="00B464E6" w:rsidRDefault="00B464E6" w:rsidP="00B464E6">
      <w:pPr>
        <w:spacing w:after="0" w:line="240" w:lineRule="auto"/>
        <w:jc w:val="both"/>
        <w:rPr>
          <w:rFonts w:ascii="Calibri" w:eastAsia="Times New Roman" w:hAnsi="Calibri" w:cs="Calibri"/>
          <w:lang w:val="en-US" w:eastAsia="en-ZA"/>
        </w:rPr>
      </w:pPr>
      <w:r w:rsidRPr="00B464E6">
        <w:rPr>
          <w:rFonts w:ascii="Arial" w:eastAsia="Times New Roman" w:hAnsi="Arial" w:cs="Arial"/>
          <w:color w:val="000000"/>
          <w:lang w:val="en-US" w:eastAsia="en-ZA"/>
        </w:rPr>
        <w:t xml:space="preserve">E-Mail: </w:t>
      </w:r>
      <w:hyperlink r:id="rId5" w:history="1">
        <w:r w:rsidRPr="00B464E6">
          <w:rPr>
            <w:rFonts w:ascii="Arial" w:eastAsia="Times New Roman" w:hAnsi="Arial" w:cs="Arial"/>
            <w:color w:val="0563C1"/>
            <w:u w:val="single"/>
            <w:lang w:val="en-US" w:eastAsia="en-ZA"/>
          </w:rPr>
          <w:t>LeratoM@comptrib.co.za</w:t>
        </w:r>
      </w:hyperlink>
    </w:p>
    <w:p w14:paraId="035DB2EE" w14:textId="77777777" w:rsidR="000B1AA8" w:rsidRDefault="000B1AA8"/>
    <w:sectPr w:rsidR="000B1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E6"/>
    <w:rsid w:val="000145DD"/>
    <w:rsid w:val="000B1AA8"/>
    <w:rsid w:val="00B464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10E5"/>
  <w15:chartTrackingRefBased/>
  <w15:docId w15:val="{2CC806B3-A399-483F-B717-2BB14998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64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539196">
      <w:bodyDiv w:val="1"/>
      <w:marLeft w:val="0"/>
      <w:marRight w:val="0"/>
      <w:marTop w:val="0"/>
      <w:marBottom w:val="0"/>
      <w:divBdr>
        <w:top w:val="none" w:sz="0" w:space="0" w:color="auto"/>
        <w:left w:val="none" w:sz="0" w:space="0" w:color="auto"/>
        <w:bottom w:val="none" w:sz="0" w:space="0" w:color="auto"/>
        <w:right w:val="none" w:sz="0" w:space="0" w:color="auto"/>
      </w:divBdr>
      <w:divsChild>
        <w:div w:id="210240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ratoM@comptrib.co.za" TargetMode="External"/><Relationship Id="rId4" Type="http://schemas.openxmlformats.org/officeDocument/2006/relationships/hyperlink" Target="mhtml:file://C:\Users\Gilliand\AppData\Local\Temp\BDY-655f3.mht!file:///C:\Users\AlistairV\AppData\Local\Microsoft\Windows\Temporary%20Internet%20Files\Content.Outlook\HMBET88G\chantelleb@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 Gouveia</dc:creator>
  <cp:keywords/>
  <dc:description/>
  <cp:lastModifiedBy>Gillian De Gouveia</cp:lastModifiedBy>
  <cp:revision>1</cp:revision>
  <dcterms:created xsi:type="dcterms:W3CDTF">2019-04-25T13:23:00Z</dcterms:created>
  <dcterms:modified xsi:type="dcterms:W3CDTF">2019-04-25T13:25:00Z</dcterms:modified>
</cp:coreProperties>
</file>