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D008" w14:textId="77777777"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Pr>
          <w:rFonts w:ascii="Arial" w:hAnsi="Arial" w:cs="Arial"/>
          <w:b/>
          <w:noProof/>
          <w:lang w:val="en-ZA" w:eastAsia="en-ZA"/>
        </w:rPr>
        <w:drawing>
          <wp:inline distT="0" distB="0" distL="0" distR="0" wp14:anchorId="1D46900A" wp14:editId="3710831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14B7362" w14:textId="515BBD10"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sidRPr="00314359">
        <w:rPr>
          <w:rFonts w:eastAsia="Times New Roman" w:cstheme="minorHAnsi"/>
          <w:b/>
          <w:bCs/>
          <w:color w:val="000000"/>
        </w:rPr>
        <w:t> OUTCOME OF CASES HEARD BY THE TRIBUNAL ON THURSDAY, 15 DECEMBER</w:t>
      </w:r>
      <w:r w:rsidR="00C40287">
        <w:rPr>
          <w:rFonts w:eastAsia="Times New Roman" w:cstheme="minorHAnsi"/>
          <w:b/>
          <w:bCs/>
          <w:color w:val="000000"/>
        </w:rPr>
        <w:t xml:space="preserve"> 2016</w:t>
      </w:r>
      <w:bookmarkStart w:id="0" w:name="_GoBack"/>
      <w:bookmarkEnd w:id="0"/>
    </w:p>
    <w:tbl>
      <w:tblPr>
        <w:tblW w:w="9224" w:type="dxa"/>
        <w:tblCellMar>
          <w:left w:w="0" w:type="dxa"/>
          <w:right w:w="0" w:type="dxa"/>
        </w:tblCellMar>
        <w:tblLook w:val="04A0" w:firstRow="1" w:lastRow="0" w:firstColumn="1" w:lastColumn="0" w:noHBand="0" w:noVBand="1"/>
      </w:tblPr>
      <w:tblGrid>
        <w:gridCol w:w="3153"/>
        <w:gridCol w:w="3198"/>
        <w:gridCol w:w="2873"/>
      </w:tblGrid>
      <w:tr w:rsidR="00314359" w:rsidRPr="00314359" w14:paraId="13CA117A" w14:textId="77777777" w:rsidTr="00314359">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2984E31" w14:textId="7B7CB0DB"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 </w:t>
            </w:r>
            <w:r w:rsidRPr="00314359">
              <w:rPr>
                <w:rFonts w:eastAsia="Times New Roman" w:cstheme="minorHAnsi"/>
                <w:color w:val="FFFFFF"/>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7FC9368"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FAFBBF1"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Competition Tribunal’s Ruling</w:t>
            </w:r>
          </w:p>
        </w:tc>
      </w:tr>
      <w:tr w:rsidR="00314359" w:rsidRPr="00314359" w14:paraId="4C37FFFE" w14:textId="77777777" w:rsidTr="00314359">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D31CA"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73BDC42"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Arrowhead (Pty) Ltd And Synergy Income Fund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E7DD3E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Approve with conditions</w:t>
            </w:r>
          </w:p>
        </w:tc>
      </w:tr>
      <w:tr w:rsidR="00314359" w:rsidRPr="00314359" w14:paraId="4495606E"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B64856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A5E508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and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Fund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F4426E9"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E2ECF72"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1A1471C"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331CD4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And Kouga Wind Farm (RF) (Pty) Ltd; Rustmo1 Solar Farm (RF)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(RF)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89CB092"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5B533AA"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4D90C60"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5BC8F0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Main Street 1438 (Pty) Ltd And Little Green Beverages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DC8A6D6"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bl>
    <w:p w14:paraId="338BC50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 </w:t>
      </w:r>
    </w:p>
    <w:p w14:paraId="14121681"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Arrowhead merger with Synergy Income Fund given the go ahead, with conditions</w:t>
      </w:r>
    </w:p>
    <w:p w14:paraId="14F6037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CF0CE31"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In this merger the primary acquiring firm is Arrowhead Pty Ltd, with the target firm being Synergy Income Fund Ltd. Both are Real Estate Investment Trusts listed on the JSE. On completion of the merger Arrowhead will control Synergy.</w:t>
      </w:r>
    </w:p>
    <w:p w14:paraId="7D230A55"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Arrowhead owns a diverse portfolio of retail, commercial, industrial and residential properties throughout South Africa.</w:t>
      </w:r>
    </w:p>
    <w:p w14:paraId="44506B98"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Synergy is presently controlled by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Property Fund Ltd.</w:t>
      </w:r>
    </w:p>
    <w:p w14:paraId="5C3C84DA"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Before implementation of the proposed transaction, and internal restructuring process will take place wherein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Synergy will exchange certain properties.</w:t>
      </w:r>
    </w:p>
    <w:p w14:paraId="18C188D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found that the proposed transaction will bring together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who will sit on the board of </w:t>
      </w:r>
      <w:proofErr w:type="spellStart"/>
      <w:r w:rsidRPr="00314359">
        <w:rPr>
          <w:rFonts w:eastAsia="Times New Roman" w:cstheme="minorHAnsi"/>
          <w:color w:val="000000"/>
        </w:rPr>
        <w:t>Synergy.The</w:t>
      </w:r>
      <w:proofErr w:type="spellEnd"/>
      <w:r w:rsidRPr="00314359">
        <w:rPr>
          <w:rFonts w:eastAsia="Times New Roman" w:cstheme="minorHAnsi"/>
          <w:color w:val="000000"/>
        </w:rPr>
        <w:t xml:space="preserve"> Commission felt that this could result in the exchange of competitive sensitive information.</w:t>
      </w:r>
    </w:p>
    <w:p w14:paraId="53ABA4A7" w14:textId="77777777"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AD880D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In order to remedy the Commission’s concerns, the Commission and the merging parties agreed to the conditions restricting the sharing of competitively sensitive information between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Group.</w:t>
      </w:r>
    </w:p>
    <w:p w14:paraId="5ED4BB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22C40F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subject to conditions agreed to by the Commission and Merging parties.</w:t>
      </w:r>
    </w:p>
    <w:p w14:paraId="16C5A378" w14:textId="1A4390DA"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D18AF32" w14:textId="2705ED41" w:rsidR="00C40287" w:rsidRDefault="00C40287" w:rsidP="00314359">
      <w:pPr>
        <w:spacing w:after="0" w:line="240" w:lineRule="auto"/>
        <w:ind w:left="113" w:right="113"/>
        <w:jc w:val="both"/>
        <w:rPr>
          <w:rFonts w:eastAsia="Times New Roman" w:cstheme="minorHAnsi"/>
          <w:color w:val="000000"/>
        </w:rPr>
      </w:pPr>
    </w:p>
    <w:p w14:paraId="296B9328" w14:textId="77777777" w:rsidR="00C40287" w:rsidRPr="00314359" w:rsidRDefault="00C40287" w:rsidP="00314359">
      <w:pPr>
        <w:spacing w:after="0" w:line="240" w:lineRule="auto"/>
        <w:ind w:left="113" w:right="113"/>
        <w:jc w:val="both"/>
        <w:rPr>
          <w:rFonts w:eastAsia="Times New Roman" w:cstheme="minorHAnsi"/>
          <w:color w:val="000000"/>
        </w:rPr>
      </w:pPr>
    </w:p>
    <w:p w14:paraId="371CF49B"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lastRenderedPageBreak/>
        <w:t>TriAlpha</w:t>
      </w:r>
      <w:proofErr w:type="spellEnd"/>
      <w:r w:rsidRPr="00314359">
        <w:rPr>
          <w:rFonts w:eastAsia="Times New Roman" w:cstheme="minorHAnsi"/>
          <w:b/>
          <w:bCs/>
          <w:color w:val="000000"/>
        </w:rPr>
        <w:t xml:space="preserve"> Investment Vehicle merger application successful</w:t>
      </w:r>
    </w:p>
    <w:p w14:paraId="6CE0B91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42AB9C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has recommended to the Competition Tribunal that the large merger whereby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intends to acquire a stake in Kouga Wind Farm Pty Limited, Rustmo1, Solar Farm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be approved without conditions. Post-merger,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will exercise varying degrees of control over Kouga, Rustmo1 and </w:t>
      </w:r>
      <w:proofErr w:type="spellStart"/>
      <w:r w:rsidRPr="00314359">
        <w:rPr>
          <w:rFonts w:eastAsia="Times New Roman" w:cstheme="minorHAnsi"/>
          <w:color w:val="000000"/>
        </w:rPr>
        <w:t>Slimsun</w:t>
      </w:r>
      <w:proofErr w:type="spellEnd"/>
      <w:r w:rsidRPr="00314359">
        <w:rPr>
          <w:rFonts w:eastAsia="Times New Roman" w:cstheme="minorHAnsi"/>
          <w:color w:val="000000"/>
        </w:rPr>
        <w:t>.</w:t>
      </w:r>
    </w:p>
    <w:p w14:paraId="762691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40A376D9"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controls a number of Independent Power Producers including Jasper Power Company, </w:t>
      </w:r>
      <w:proofErr w:type="spellStart"/>
      <w:r w:rsidRPr="00314359">
        <w:rPr>
          <w:rFonts w:eastAsia="Times New Roman" w:cstheme="minorHAnsi"/>
          <w:color w:val="000000"/>
        </w:rPr>
        <w:t>Letsatsi</w:t>
      </w:r>
      <w:proofErr w:type="spellEnd"/>
      <w:r w:rsidRPr="00314359">
        <w:rPr>
          <w:rFonts w:eastAsia="Times New Roman" w:cstheme="minorHAnsi"/>
          <w:color w:val="000000"/>
        </w:rPr>
        <w:t xml:space="preserve"> Power Company and Lesedi Power Company which have 20 year Power Purchase Agreements to supply Eskom with electricity. None of these target firms control any other firm. The firms may generate electricity by means of offshore wind technology and solar photovoltaic technology.</w:t>
      </w:r>
    </w:p>
    <w:p w14:paraId="5A1349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0F9CDE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7A5D511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8FDADD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Main Street 1438 merger with Little Green Beverages approved</w:t>
      </w:r>
    </w:p>
    <w:p w14:paraId="6702BE9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F56642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wishes to acquire sole control over Little Green Beverages Pty Ltd, a private company ultimately controlled by Old Mutual. The Commission has recommended the merger be approved without conditions.</w:t>
      </w:r>
    </w:p>
    <w:p w14:paraId="604CCF9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DC56A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Little Green Beverages is involved in the production, packing and distribution of branded and private label beverages in South Africa.</w:t>
      </w:r>
    </w:p>
    <w:p w14:paraId="198E51B2"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3E0E05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is a special purpose vehicle established for the purposes of the proposed transaction and is a wholly owned subsidiary of Ethos Private Equity Fund VI. Ethos Fund VI is a private equity fund that comprises various local and foreign investors. In SA Ethos Fund VI has shareholding in a number of firms.</w:t>
      </w:r>
    </w:p>
    <w:p w14:paraId="650A8EA4"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10F1626" w14:textId="1EF93662"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In terms of the transaction Little Green Beverages will be acquired by a new wholly-owned owned subsidiary of Main Street, namely Main Street 1439 Pty Ltd.</w:t>
      </w:r>
    </w:p>
    <w:p w14:paraId="59A800B4" w14:textId="77777777" w:rsidR="00C40287" w:rsidRPr="00314359" w:rsidRDefault="00C40287" w:rsidP="00314359">
      <w:pPr>
        <w:spacing w:after="0" w:line="240" w:lineRule="auto"/>
        <w:ind w:left="113" w:right="113"/>
        <w:jc w:val="both"/>
        <w:rPr>
          <w:rFonts w:eastAsia="Times New Roman" w:cstheme="minorHAnsi"/>
          <w:color w:val="000000"/>
        </w:rPr>
      </w:pPr>
    </w:p>
    <w:p w14:paraId="74BCA38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03DB376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BE87875"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Holdings looks to merge with </w:t>
      </w: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Property Find</w:t>
      </w:r>
    </w:p>
    <w:p w14:paraId="7061C9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278C81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primary acquiring firm is </w:t>
      </w:r>
      <w:proofErr w:type="spellStart"/>
      <w:r w:rsidRPr="00314359">
        <w:rPr>
          <w:rFonts w:eastAsia="Times New Roman" w:cstheme="minorHAnsi"/>
          <w:color w:val="000000"/>
        </w:rPr>
        <w:t>Setco</w:t>
      </w:r>
      <w:proofErr w:type="spellEnd"/>
      <w:r w:rsidRPr="00314359">
        <w:rPr>
          <w:rFonts w:eastAsia="Times New Roman" w:cstheme="minorHAnsi"/>
          <w:color w:val="000000"/>
        </w:rPr>
        <w:t xml:space="preserve"> Holdings, controlled by Rainbow Capital Ltd, and target firm </w:t>
      </w:r>
      <w:proofErr w:type="spellStart"/>
      <w:r w:rsidRPr="00314359">
        <w:rPr>
          <w:rFonts w:eastAsia="Times New Roman" w:cstheme="minorHAnsi"/>
          <w:color w:val="000000"/>
        </w:rPr>
        <w:t>Selco</w:t>
      </w:r>
      <w:proofErr w:type="spellEnd"/>
      <w:r w:rsidRPr="00314359">
        <w:rPr>
          <w:rFonts w:eastAsia="Times New Roman" w:cstheme="minorHAnsi"/>
          <w:color w:val="000000"/>
        </w:rPr>
        <w:t xml:space="preserve"> Property Fund is controlled by Pivotal Fund Ltd.</w:t>
      </w:r>
    </w:p>
    <w:p w14:paraId="4E151820" w14:textId="77777777" w:rsidR="00C40287" w:rsidRDefault="00C40287" w:rsidP="00314359">
      <w:pPr>
        <w:spacing w:after="0" w:line="240" w:lineRule="auto"/>
        <w:ind w:left="113" w:right="113"/>
        <w:jc w:val="both"/>
        <w:rPr>
          <w:rFonts w:eastAsia="Times New Roman" w:cstheme="minorHAnsi"/>
          <w:color w:val="000000"/>
        </w:rPr>
      </w:pPr>
    </w:p>
    <w:p w14:paraId="208E2ADC" w14:textId="1D2FCE96"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Post</w:t>
      </w:r>
      <w:r w:rsidR="00C40287">
        <w:rPr>
          <w:rFonts w:eastAsia="Times New Roman" w:cstheme="minorHAnsi"/>
          <w:color w:val="000000"/>
        </w:rPr>
        <w:t>-</w:t>
      </w:r>
      <w:r w:rsidRPr="00314359">
        <w:rPr>
          <w:rFonts w:eastAsia="Times New Roman" w:cstheme="minorHAnsi"/>
          <w:color w:val="000000"/>
        </w:rPr>
        <w:t xml:space="preserve">merger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will control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does not control any firm.</w:t>
      </w:r>
    </w:p>
    <w:p w14:paraId="207368A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As part of the deal Pivotal will transfer 12 office properties and 4 retail properties.</w:t>
      </w:r>
    </w:p>
    <w:p w14:paraId="5648072E" w14:textId="77777777" w:rsidR="00C40287" w:rsidRDefault="00C40287" w:rsidP="00314359">
      <w:pPr>
        <w:spacing w:after="0" w:line="240" w:lineRule="auto"/>
        <w:ind w:left="113" w:right="113"/>
        <w:jc w:val="both"/>
        <w:rPr>
          <w:rFonts w:eastAsia="Times New Roman" w:cstheme="minorHAnsi"/>
          <w:color w:val="000000"/>
        </w:rPr>
      </w:pPr>
    </w:p>
    <w:p w14:paraId="6A45E21C" w14:textId="1A4B4FFB"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without conditions.</w:t>
      </w:r>
    </w:p>
    <w:p w14:paraId="16004ED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7270AA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Issued by:</w:t>
      </w:r>
    </w:p>
    <w:p w14:paraId="5FD0102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Chantelle Benjamin</w:t>
      </w:r>
    </w:p>
    <w:p w14:paraId="4C090C4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Communications: Competition Tribunal   </w:t>
      </w:r>
    </w:p>
    <w:p w14:paraId="1227C9C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(012)394 1383                                     </w:t>
      </w:r>
    </w:p>
    <w:p w14:paraId="1B7542B8"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lastRenderedPageBreak/>
        <w:t>Cell: </w:t>
      </w:r>
      <w:hyperlink r:id="rId5" w:tgtFrame="_blank" w:history="1">
        <w:r w:rsidRPr="00314359">
          <w:rPr>
            <w:rFonts w:eastAsia="Times New Roman" w:cstheme="minorHAnsi"/>
            <w:color w:val="1155CC"/>
          </w:rPr>
          <w:t>+27 (0) 73 007 5603</w:t>
        </w:r>
      </w:hyperlink>
      <w:r w:rsidRPr="00314359">
        <w:rPr>
          <w:rFonts w:eastAsia="Times New Roman" w:cstheme="minorHAnsi"/>
          <w:color w:val="000000"/>
        </w:rPr>
        <w:t>  </w:t>
      </w:r>
    </w:p>
    <w:p w14:paraId="7C8D5BB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Twitter: @comptrib                                       </w:t>
      </w:r>
    </w:p>
    <w:p w14:paraId="56056C2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w:tgtFrame="_blank" w:history="1">
        <w:r w:rsidRPr="00314359">
          <w:rPr>
            <w:rFonts w:eastAsia="Times New Roman" w:cstheme="minorHAnsi"/>
            <w:color w:val="1155CC"/>
          </w:rPr>
          <w:t>chantelleb@comptrib.co.za</w:t>
        </w:r>
      </w:hyperlink>
    </w:p>
    <w:p w14:paraId="2911FB3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1E037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1BAB8B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On Behalf Of:</w:t>
      </w:r>
    </w:p>
    <w:p w14:paraId="734C60A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Lerato Motaung                                                   </w:t>
      </w:r>
    </w:p>
    <w:p w14:paraId="5425A8C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Registrar: Competition Tribunal                                        </w:t>
      </w:r>
    </w:p>
    <w:p w14:paraId="43C912F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 394 3355                                             </w:t>
      </w:r>
    </w:p>
    <w:p w14:paraId="13EA6A4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Cell: </w:t>
      </w:r>
      <w:hyperlink r:id="rId6" w:tgtFrame="_blank" w:history="1">
        <w:r w:rsidRPr="00314359">
          <w:rPr>
            <w:rFonts w:eastAsia="Times New Roman" w:cstheme="minorHAnsi"/>
            <w:color w:val="1155CC"/>
          </w:rPr>
          <w:t>+27 (0) 82 556 3221</w:t>
        </w:r>
      </w:hyperlink>
      <w:r w:rsidRPr="00314359">
        <w:rPr>
          <w:rFonts w:eastAsia="Times New Roman" w:cstheme="minorHAnsi"/>
          <w:color w:val="000000"/>
        </w:rPr>
        <w:t>                                              </w:t>
      </w:r>
    </w:p>
    <w:p w14:paraId="22FCBF27"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r:id="rId7" w:tgtFrame="_blank" w:history="1">
        <w:r w:rsidRPr="00314359">
          <w:rPr>
            <w:rFonts w:eastAsia="Times New Roman" w:cstheme="minorHAnsi"/>
            <w:color w:val="1155CC"/>
          </w:rPr>
          <w:t>LeratoM@comptrib.co.za</w:t>
        </w:r>
      </w:hyperlink>
    </w:p>
    <w:p w14:paraId="553DF0F7" w14:textId="77777777" w:rsidR="003E6D12" w:rsidRDefault="00735D7B" w:rsidP="00314359">
      <w:pPr>
        <w:spacing w:after="0" w:line="240" w:lineRule="auto"/>
      </w:pPr>
    </w:p>
    <w:p w14:paraId="44521D9B" w14:textId="77777777" w:rsidR="00314359" w:rsidRDefault="00314359">
      <w:pPr>
        <w:spacing w:after="0" w:line="240" w:lineRule="auto"/>
      </w:pPr>
    </w:p>
    <w:sectPr w:rsidR="00314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59"/>
    <w:rsid w:val="00017436"/>
    <w:rsid w:val="002A5A09"/>
    <w:rsid w:val="00314359"/>
    <w:rsid w:val="004755EC"/>
    <w:rsid w:val="0050172A"/>
    <w:rsid w:val="006A3E1D"/>
    <w:rsid w:val="00C4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9DC"/>
  <w15:chartTrackingRefBased/>
  <w15:docId w15:val="{0481A6A8-8FC5-429D-AEFB-A587D0C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7%2082%20556%203221" TargetMode="External"/><Relationship Id="rId5" Type="http://schemas.openxmlformats.org/officeDocument/2006/relationships/hyperlink" Target="tel:+27%2073%20007%20560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2019-04-25T11:25:00Z</dcterms:created>
  <dcterms:modified xsi:type="dcterms:W3CDTF">2019-04-25T11:25:00Z</dcterms:modified>
</cp:coreProperties>
</file>