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0E" w:rsidRDefault="0046530E" w:rsidP="0046530E">
      <w:pPr>
        <w:jc w:val="center"/>
        <w:rPr>
          <w:rFonts w:ascii="Arial" w:hAnsi="Arial" w:cs="Arial"/>
          <w:b/>
        </w:rPr>
      </w:pPr>
      <w:r w:rsidRPr="00B0166C">
        <w:rPr>
          <w:rFonts w:ascii="Arial" w:hAnsi="Arial" w:cs="Arial"/>
          <w:b/>
          <w:noProof/>
        </w:rPr>
        <w:drawing>
          <wp:inline distT="0" distB="0" distL="0" distR="0" wp14:anchorId="6C5FA9C1" wp14:editId="2D003D76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30E" w:rsidRDefault="0046530E" w:rsidP="003B59A9">
      <w:pPr>
        <w:jc w:val="right"/>
        <w:rPr>
          <w:rFonts w:ascii="Arial" w:hAnsi="Arial" w:cs="Arial"/>
          <w:b/>
        </w:rPr>
      </w:pPr>
    </w:p>
    <w:p w:rsidR="0046530E" w:rsidRDefault="0046530E" w:rsidP="003B59A9">
      <w:pPr>
        <w:jc w:val="right"/>
        <w:rPr>
          <w:rFonts w:ascii="Arial" w:hAnsi="Arial" w:cs="Arial"/>
          <w:b/>
        </w:rPr>
      </w:pPr>
    </w:p>
    <w:p w:rsidR="0046530E" w:rsidRDefault="0046530E" w:rsidP="003B59A9">
      <w:pPr>
        <w:jc w:val="right"/>
        <w:rPr>
          <w:rFonts w:ascii="Arial" w:hAnsi="Arial" w:cs="Arial"/>
          <w:b/>
        </w:rPr>
      </w:pPr>
    </w:p>
    <w:p w:rsidR="003B59A9" w:rsidRDefault="003B59A9" w:rsidP="003B59A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March 2017</w:t>
      </w:r>
    </w:p>
    <w:p w:rsidR="003B59A9" w:rsidRDefault="003B59A9">
      <w:pPr>
        <w:rPr>
          <w:rFonts w:ascii="Arial" w:hAnsi="Arial" w:cs="Arial"/>
          <w:b/>
        </w:rPr>
      </w:pPr>
    </w:p>
    <w:p w:rsidR="006F28EA" w:rsidRPr="00AE3619" w:rsidRDefault="006F28EA" w:rsidP="00AE361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3619">
        <w:rPr>
          <w:rFonts w:ascii="Arial" w:hAnsi="Arial" w:cs="Arial"/>
          <w:b/>
          <w:sz w:val="24"/>
          <w:szCs w:val="24"/>
        </w:rPr>
        <w:t xml:space="preserve">Allens </w:t>
      </w:r>
      <w:r w:rsidR="00835528" w:rsidRPr="00835528">
        <w:rPr>
          <w:rFonts w:ascii="Arial" w:hAnsi="Arial" w:cs="Arial"/>
          <w:b/>
          <w:sz w:val="24"/>
          <w:szCs w:val="24"/>
        </w:rPr>
        <w:t>Meshco</w:t>
      </w:r>
      <w:r w:rsidRPr="00AE3619">
        <w:rPr>
          <w:rFonts w:ascii="Arial" w:hAnsi="Arial" w:cs="Arial"/>
          <w:b/>
          <w:sz w:val="24"/>
          <w:szCs w:val="24"/>
        </w:rPr>
        <w:t xml:space="preserve"> </w:t>
      </w:r>
      <w:r w:rsidR="00CC51AD">
        <w:rPr>
          <w:rFonts w:ascii="Arial" w:hAnsi="Arial" w:cs="Arial"/>
          <w:b/>
          <w:sz w:val="24"/>
          <w:szCs w:val="24"/>
        </w:rPr>
        <w:t xml:space="preserve">Group </w:t>
      </w:r>
      <w:r w:rsidRPr="00AE3619">
        <w:rPr>
          <w:rFonts w:ascii="Arial" w:hAnsi="Arial" w:cs="Arial"/>
          <w:b/>
          <w:sz w:val="24"/>
          <w:szCs w:val="24"/>
        </w:rPr>
        <w:t xml:space="preserve">case reopened </w:t>
      </w:r>
      <w:r w:rsidR="00835528">
        <w:rPr>
          <w:rFonts w:ascii="Arial" w:hAnsi="Arial" w:cs="Arial"/>
          <w:b/>
          <w:sz w:val="24"/>
          <w:szCs w:val="24"/>
        </w:rPr>
        <w:t xml:space="preserve">by the Competition Commission </w:t>
      </w:r>
      <w:r w:rsidRPr="00AE3619">
        <w:rPr>
          <w:rFonts w:ascii="Arial" w:hAnsi="Arial" w:cs="Arial"/>
          <w:b/>
          <w:sz w:val="24"/>
          <w:szCs w:val="24"/>
        </w:rPr>
        <w:t xml:space="preserve">to </w:t>
      </w:r>
      <w:r w:rsidRPr="00AE3619">
        <w:rPr>
          <w:rFonts w:ascii="Arial" w:hAnsi="Arial" w:cs="Arial"/>
          <w:b/>
          <w:sz w:val="24"/>
          <w:szCs w:val="24"/>
        </w:rPr>
        <w:t xml:space="preserve">provide clarity regarding </w:t>
      </w:r>
      <w:r w:rsidR="00835528">
        <w:rPr>
          <w:rFonts w:ascii="Arial" w:hAnsi="Arial" w:cs="Arial"/>
          <w:b/>
          <w:sz w:val="24"/>
          <w:szCs w:val="24"/>
        </w:rPr>
        <w:t xml:space="preserve">issues of </w:t>
      </w:r>
      <w:r w:rsidRPr="00AE3619">
        <w:rPr>
          <w:rFonts w:ascii="Arial" w:hAnsi="Arial" w:cs="Arial"/>
          <w:b/>
          <w:sz w:val="24"/>
          <w:szCs w:val="24"/>
        </w:rPr>
        <w:t xml:space="preserve">administrative penalty and </w:t>
      </w:r>
      <w:r w:rsidR="003B59A9" w:rsidRPr="00AE3619">
        <w:rPr>
          <w:rFonts w:ascii="Arial" w:hAnsi="Arial" w:cs="Arial"/>
          <w:b/>
          <w:sz w:val="24"/>
          <w:szCs w:val="24"/>
        </w:rPr>
        <w:t xml:space="preserve">where to direct the </w:t>
      </w:r>
      <w:r w:rsidRPr="00AE3619">
        <w:rPr>
          <w:rFonts w:ascii="Arial" w:hAnsi="Arial" w:cs="Arial"/>
          <w:b/>
          <w:sz w:val="24"/>
          <w:szCs w:val="24"/>
        </w:rPr>
        <w:t>penalties</w:t>
      </w:r>
      <w:r w:rsidR="003B59A9" w:rsidRPr="00AE3619">
        <w:rPr>
          <w:rFonts w:ascii="Arial" w:hAnsi="Arial" w:cs="Arial"/>
          <w:b/>
          <w:sz w:val="24"/>
          <w:szCs w:val="24"/>
        </w:rPr>
        <w:t xml:space="preserve"> </w:t>
      </w:r>
    </w:p>
    <w:p w:rsidR="0024297A" w:rsidRPr="00AE3619" w:rsidRDefault="0024297A" w:rsidP="00AE3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3619">
        <w:rPr>
          <w:rFonts w:ascii="Arial" w:hAnsi="Arial" w:cs="Arial"/>
          <w:sz w:val="24"/>
          <w:szCs w:val="24"/>
        </w:rPr>
        <w:t xml:space="preserve">The Competition Tribunal has approved the Competition Commission’s application to reopen the Allens </w:t>
      </w:r>
      <w:r w:rsidR="00835528" w:rsidRPr="00835528">
        <w:rPr>
          <w:rFonts w:ascii="Arial" w:hAnsi="Arial" w:cs="Arial"/>
          <w:sz w:val="24"/>
          <w:szCs w:val="24"/>
        </w:rPr>
        <w:t>Meshco</w:t>
      </w:r>
      <w:r w:rsidRPr="00AE3619">
        <w:rPr>
          <w:rFonts w:ascii="Arial" w:hAnsi="Arial" w:cs="Arial"/>
          <w:sz w:val="24"/>
          <w:szCs w:val="24"/>
        </w:rPr>
        <w:t xml:space="preserve"> ca</w:t>
      </w:r>
      <w:r w:rsidR="006B0258" w:rsidRPr="00AE3619">
        <w:rPr>
          <w:rFonts w:ascii="Arial" w:hAnsi="Arial" w:cs="Arial"/>
          <w:sz w:val="24"/>
          <w:szCs w:val="24"/>
        </w:rPr>
        <w:t xml:space="preserve">se to provide the Tribunal with additional information </w:t>
      </w:r>
      <w:r w:rsidR="00076970">
        <w:rPr>
          <w:rFonts w:ascii="Arial" w:hAnsi="Arial" w:cs="Arial"/>
          <w:sz w:val="24"/>
          <w:szCs w:val="24"/>
        </w:rPr>
        <w:t xml:space="preserve">on which of the </w:t>
      </w:r>
      <w:r w:rsidR="00AE3619">
        <w:rPr>
          <w:rFonts w:ascii="Arial" w:hAnsi="Arial" w:cs="Arial"/>
          <w:sz w:val="24"/>
          <w:szCs w:val="24"/>
        </w:rPr>
        <w:t>Allens Mescho Group (AMG)</w:t>
      </w:r>
      <w:r w:rsidR="00076970">
        <w:rPr>
          <w:rFonts w:ascii="Arial" w:hAnsi="Arial" w:cs="Arial"/>
          <w:sz w:val="24"/>
          <w:szCs w:val="24"/>
        </w:rPr>
        <w:t xml:space="preserve"> of companies will be held liable if AMG is found to have contravened the Competition Act.</w:t>
      </w:r>
    </w:p>
    <w:p w:rsidR="006B0258" w:rsidRPr="00AE3619" w:rsidRDefault="0024297A" w:rsidP="00AE3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3619">
        <w:rPr>
          <w:rFonts w:ascii="Arial" w:hAnsi="Arial" w:cs="Arial"/>
          <w:sz w:val="24"/>
          <w:szCs w:val="24"/>
        </w:rPr>
        <w:t>The issues to be argued are which year the administrative penalty should apply to, as the Allens Mes</w:t>
      </w:r>
      <w:r w:rsidR="00835528">
        <w:rPr>
          <w:rFonts w:ascii="Arial" w:hAnsi="Arial" w:cs="Arial"/>
          <w:sz w:val="24"/>
          <w:szCs w:val="24"/>
        </w:rPr>
        <w:t>hco</w:t>
      </w:r>
      <w:r w:rsidRPr="00AE3619">
        <w:rPr>
          <w:rFonts w:ascii="Arial" w:hAnsi="Arial" w:cs="Arial"/>
          <w:sz w:val="24"/>
          <w:szCs w:val="24"/>
        </w:rPr>
        <w:t xml:space="preserve"> companies reported a zero turnover by 2015, and determination of which firm or firms the penalt</w:t>
      </w:r>
      <w:r w:rsidR="006B0258" w:rsidRPr="00AE3619">
        <w:rPr>
          <w:rFonts w:ascii="Arial" w:hAnsi="Arial" w:cs="Arial"/>
          <w:sz w:val="24"/>
          <w:szCs w:val="24"/>
        </w:rPr>
        <w:t>y should be directed to as it appears from testimony heard by the Tribunal</w:t>
      </w:r>
      <w:r w:rsidR="00AE3619">
        <w:rPr>
          <w:rFonts w:ascii="Arial" w:hAnsi="Arial" w:cs="Arial"/>
          <w:sz w:val="24"/>
          <w:szCs w:val="24"/>
        </w:rPr>
        <w:t xml:space="preserve"> that some of the 10 firms have </w:t>
      </w:r>
      <w:r w:rsidR="00835528">
        <w:rPr>
          <w:rFonts w:ascii="Arial" w:hAnsi="Arial" w:cs="Arial"/>
          <w:sz w:val="24"/>
          <w:szCs w:val="24"/>
        </w:rPr>
        <w:t xml:space="preserve">either </w:t>
      </w:r>
      <w:r w:rsidR="006B0258" w:rsidRPr="00AE3619">
        <w:rPr>
          <w:rFonts w:ascii="Arial" w:hAnsi="Arial" w:cs="Arial"/>
          <w:sz w:val="24"/>
          <w:szCs w:val="24"/>
        </w:rPr>
        <w:t xml:space="preserve">merged with other companies, deregistered, or are in the process of deregistering. </w:t>
      </w:r>
    </w:p>
    <w:p w:rsidR="006B0258" w:rsidRPr="00AE3619" w:rsidRDefault="006B0258" w:rsidP="00AE3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3619">
        <w:rPr>
          <w:rFonts w:ascii="Arial" w:hAnsi="Arial" w:cs="Arial"/>
          <w:sz w:val="24"/>
          <w:szCs w:val="24"/>
        </w:rPr>
        <w:t>The Tribunal in its decision, released on Monday, 6 March</w:t>
      </w:r>
      <w:r w:rsidR="00AE3619">
        <w:rPr>
          <w:rFonts w:ascii="Arial" w:hAnsi="Arial" w:cs="Arial"/>
          <w:sz w:val="24"/>
          <w:szCs w:val="24"/>
        </w:rPr>
        <w:t xml:space="preserve"> 2017</w:t>
      </w:r>
      <w:r w:rsidRPr="00AE3619">
        <w:rPr>
          <w:rFonts w:ascii="Arial" w:hAnsi="Arial" w:cs="Arial"/>
          <w:sz w:val="24"/>
          <w:szCs w:val="24"/>
        </w:rPr>
        <w:t>, said as a body with statutory functions it “would be required to obtain the evidence and conduct the hearing in a</w:t>
      </w:r>
      <w:r w:rsidR="00835528">
        <w:rPr>
          <w:rFonts w:ascii="Arial" w:hAnsi="Arial" w:cs="Arial"/>
          <w:sz w:val="24"/>
          <w:szCs w:val="24"/>
        </w:rPr>
        <w:t>n</w:t>
      </w:r>
      <w:r w:rsidRPr="00AE3619">
        <w:rPr>
          <w:rFonts w:ascii="Arial" w:hAnsi="Arial" w:cs="Arial"/>
          <w:sz w:val="24"/>
          <w:szCs w:val="24"/>
        </w:rPr>
        <w:t xml:space="preserve"> inquisitorial manner” should the Competition Commission not </w:t>
      </w:r>
      <w:r w:rsidR="00835528">
        <w:rPr>
          <w:rFonts w:ascii="Arial" w:hAnsi="Arial" w:cs="Arial"/>
          <w:sz w:val="24"/>
          <w:szCs w:val="24"/>
        </w:rPr>
        <w:t>be allowed to reopen its case</w:t>
      </w:r>
      <w:r w:rsidRPr="00AE3619">
        <w:rPr>
          <w:rFonts w:ascii="Arial" w:hAnsi="Arial" w:cs="Arial"/>
          <w:sz w:val="24"/>
          <w:szCs w:val="24"/>
        </w:rPr>
        <w:t xml:space="preserve">. </w:t>
      </w:r>
      <w:r w:rsidRPr="00AE3619">
        <w:rPr>
          <w:rFonts w:ascii="Arial" w:hAnsi="Arial" w:cs="Arial"/>
          <w:sz w:val="24"/>
          <w:szCs w:val="24"/>
        </w:rPr>
        <w:t xml:space="preserve">“Thus, whatever the process, the evidence must be presented so that we can determine the matter properly,” the Tribunal said in its reasons. </w:t>
      </w:r>
    </w:p>
    <w:p w:rsidR="006B0258" w:rsidRPr="00AE3619" w:rsidRDefault="0024297A" w:rsidP="00AE3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3619">
        <w:rPr>
          <w:rFonts w:ascii="Arial" w:hAnsi="Arial" w:cs="Arial"/>
          <w:sz w:val="24"/>
          <w:szCs w:val="24"/>
        </w:rPr>
        <w:t xml:space="preserve">The case </w:t>
      </w:r>
      <w:r w:rsidR="006B0258" w:rsidRPr="00AE3619">
        <w:rPr>
          <w:rFonts w:ascii="Arial" w:hAnsi="Arial" w:cs="Arial"/>
          <w:sz w:val="24"/>
          <w:szCs w:val="24"/>
        </w:rPr>
        <w:t>has a long history of litigation before the Tribuna</w:t>
      </w:r>
      <w:r w:rsidR="00835528">
        <w:rPr>
          <w:rFonts w:ascii="Arial" w:hAnsi="Arial" w:cs="Arial"/>
          <w:sz w:val="24"/>
          <w:szCs w:val="24"/>
        </w:rPr>
        <w:t>l,</w:t>
      </w:r>
      <w:r w:rsidR="006B0258" w:rsidRPr="00AE3619">
        <w:rPr>
          <w:rFonts w:ascii="Arial" w:hAnsi="Arial" w:cs="Arial"/>
          <w:sz w:val="24"/>
          <w:szCs w:val="24"/>
        </w:rPr>
        <w:t xml:space="preserve"> </w:t>
      </w:r>
      <w:r w:rsidR="006B0258" w:rsidRPr="00AE3619">
        <w:rPr>
          <w:rFonts w:ascii="Arial" w:hAnsi="Arial" w:cs="Arial"/>
          <w:sz w:val="24"/>
          <w:szCs w:val="24"/>
        </w:rPr>
        <w:t xml:space="preserve">High Court, Supreme Court and the Constitutional Court, on a number of different grounds. </w:t>
      </w:r>
    </w:p>
    <w:p w:rsidR="003E6D12" w:rsidRPr="00AE3619" w:rsidRDefault="006F28EA" w:rsidP="00AE3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3619">
        <w:rPr>
          <w:rFonts w:ascii="Arial" w:hAnsi="Arial" w:cs="Arial"/>
          <w:sz w:val="24"/>
          <w:szCs w:val="24"/>
        </w:rPr>
        <w:t>The companies involved are: 1</w:t>
      </w:r>
      <w:r w:rsidR="00835528">
        <w:rPr>
          <w:rFonts w:ascii="Arial" w:hAnsi="Arial" w:cs="Arial"/>
          <w:sz w:val="24"/>
          <w:szCs w:val="24"/>
        </w:rPr>
        <w:t>0</w:t>
      </w:r>
      <w:r w:rsidRPr="00AE3619">
        <w:rPr>
          <w:rFonts w:ascii="Arial" w:hAnsi="Arial" w:cs="Arial"/>
          <w:sz w:val="24"/>
          <w:szCs w:val="24"/>
        </w:rPr>
        <w:t xml:space="preserve"> </w:t>
      </w:r>
      <w:r w:rsidRPr="00AE3619">
        <w:rPr>
          <w:rFonts w:ascii="Arial" w:hAnsi="Arial" w:cs="Arial"/>
          <w:sz w:val="24"/>
          <w:szCs w:val="24"/>
        </w:rPr>
        <w:t>companies collectively referred to as the Allens Meshco Group -  Allens Meshco; Hendok; Wire Force; Agri Wire; Agri Wire North; Agri Wire Upington; Cape Wire; Forest Wire; Independent Galvanisin</w:t>
      </w:r>
      <w:r w:rsidR="006B0258" w:rsidRPr="00AE3619">
        <w:rPr>
          <w:rFonts w:ascii="Arial" w:hAnsi="Arial" w:cs="Arial"/>
          <w:sz w:val="24"/>
          <w:szCs w:val="24"/>
        </w:rPr>
        <w:t>g</w:t>
      </w:r>
      <w:r w:rsidR="00AE3619">
        <w:rPr>
          <w:rFonts w:ascii="Arial" w:hAnsi="Arial" w:cs="Arial"/>
          <w:sz w:val="24"/>
          <w:szCs w:val="24"/>
        </w:rPr>
        <w:t xml:space="preserve"> and Associate Wire Industries - </w:t>
      </w:r>
      <w:r w:rsidR="006B0258" w:rsidRPr="00AE3619">
        <w:rPr>
          <w:rFonts w:ascii="Arial" w:hAnsi="Arial" w:cs="Arial"/>
          <w:sz w:val="24"/>
          <w:szCs w:val="24"/>
        </w:rPr>
        <w:t>and a separate company Cape Gate. Cape Gate has cooperated with the Commission</w:t>
      </w:r>
      <w:r w:rsidR="00AE3619">
        <w:rPr>
          <w:rFonts w:ascii="Arial" w:hAnsi="Arial" w:cs="Arial"/>
          <w:sz w:val="24"/>
          <w:szCs w:val="24"/>
        </w:rPr>
        <w:t xml:space="preserve"> in the investigation</w:t>
      </w:r>
      <w:r w:rsidR="006B0258" w:rsidRPr="00AE3619">
        <w:rPr>
          <w:rFonts w:ascii="Arial" w:hAnsi="Arial" w:cs="Arial"/>
          <w:sz w:val="24"/>
          <w:szCs w:val="24"/>
        </w:rPr>
        <w:t xml:space="preserve">. </w:t>
      </w:r>
    </w:p>
    <w:p w:rsidR="006B0258" w:rsidRPr="00AE3619" w:rsidRDefault="0026449C" w:rsidP="00AE3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3619">
        <w:rPr>
          <w:rFonts w:ascii="Arial" w:hAnsi="Arial" w:cs="Arial"/>
          <w:sz w:val="24"/>
          <w:szCs w:val="24"/>
        </w:rPr>
        <w:t>The application to reopen the case against the Allens Mes</w:t>
      </w:r>
      <w:r w:rsidR="00835528">
        <w:rPr>
          <w:rFonts w:ascii="Arial" w:hAnsi="Arial" w:cs="Arial"/>
          <w:sz w:val="24"/>
          <w:szCs w:val="24"/>
        </w:rPr>
        <w:t>hco</w:t>
      </w:r>
      <w:r w:rsidRPr="00AE3619">
        <w:rPr>
          <w:rFonts w:ascii="Arial" w:hAnsi="Arial" w:cs="Arial"/>
          <w:sz w:val="24"/>
          <w:szCs w:val="24"/>
        </w:rPr>
        <w:t xml:space="preserve"> Group, was only one of five applications heard by the Tribunal. The Tribunal consolidated its decisions and orders to deal with all five. </w:t>
      </w:r>
    </w:p>
    <w:p w:rsidR="006F28EA" w:rsidRPr="00AE3619" w:rsidRDefault="0026449C" w:rsidP="00AE3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3619">
        <w:rPr>
          <w:rFonts w:ascii="Arial" w:hAnsi="Arial" w:cs="Arial"/>
          <w:sz w:val="24"/>
          <w:szCs w:val="24"/>
        </w:rPr>
        <w:t>The remaining four applications, all brought by the Allens Mescho Group</w:t>
      </w:r>
      <w:r w:rsidR="00AE3619">
        <w:rPr>
          <w:rFonts w:ascii="Arial" w:hAnsi="Arial" w:cs="Arial"/>
          <w:sz w:val="24"/>
          <w:szCs w:val="24"/>
        </w:rPr>
        <w:t>,</w:t>
      </w:r>
      <w:r w:rsidRPr="00AE3619">
        <w:rPr>
          <w:rFonts w:ascii="Arial" w:hAnsi="Arial" w:cs="Arial"/>
          <w:sz w:val="24"/>
          <w:szCs w:val="24"/>
        </w:rPr>
        <w:t xml:space="preserve"> were dismissed. These included: having the merits and remedies of the complaint related to the</w:t>
      </w:r>
      <w:r w:rsidR="003B59A9" w:rsidRPr="00AE3619">
        <w:rPr>
          <w:rFonts w:ascii="Arial" w:hAnsi="Arial" w:cs="Arial"/>
          <w:sz w:val="24"/>
          <w:szCs w:val="24"/>
        </w:rPr>
        <w:t xml:space="preserve"> Allens Mes</w:t>
      </w:r>
      <w:r w:rsidR="00835528">
        <w:rPr>
          <w:rFonts w:ascii="Arial" w:hAnsi="Arial" w:cs="Arial"/>
          <w:sz w:val="24"/>
          <w:szCs w:val="24"/>
        </w:rPr>
        <w:t>hco</w:t>
      </w:r>
      <w:r w:rsidR="003B59A9" w:rsidRPr="00AE3619">
        <w:rPr>
          <w:rFonts w:ascii="Arial" w:hAnsi="Arial" w:cs="Arial"/>
          <w:sz w:val="24"/>
          <w:szCs w:val="24"/>
        </w:rPr>
        <w:t xml:space="preserve"> Group separated and striking out of an affidavit by </w:t>
      </w:r>
      <w:r w:rsidR="00AE3619">
        <w:rPr>
          <w:rFonts w:ascii="Arial" w:hAnsi="Arial" w:cs="Arial"/>
          <w:sz w:val="24"/>
          <w:szCs w:val="24"/>
        </w:rPr>
        <w:t xml:space="preserve">a </w:t>
      </w:r>
      <w:r w:rsidR="003B59A9" w:rsidRPr="00AE3619">
        <w:rPr>
          <w:rFonts w:ascii="Arial" w:hAnsi="Arial" w:cs="Arial"/>
          <w:sz w:val="24"/>
          <w:szCs w:val="24"/>
        </w:rPr>
        <w:t>Cape Gate’s lawyer</w:t>
      </w:r>
      <w:r w:rsidR="00AE3619">
        <w:rPr>
          <w:rFonts w:ascii="Arial" w:hAnsi="Arial" w:cs="Arial"/>
          <w:sz w:val="24"/>
          <w:szCs w:val="24"/>
        </w:rPr>
        <w:t xml:space="preserve">, as well as </w:t>
      </w:r>
      <w:r w:rsidR="003B59A9" w:rsidRPr="00AE3619">
        <w:rPr>
          <w:rFonts w:ascii="Arial" w:hAnsi="Arial" w:cs="Arial"/>
          <w:sz w:val="24"/>
          <w:szCs w:val="24"/>
        </w:rPr>
        <w:t xml:space="preserve">Cape Gate’s </w:t>
      </w:r>
      <w:r w:rsidR="00835528">
        <w:rPr>
          <w:rFonts w:ascii="Arial" w:hAnsi="Arial" w:cs="Arial"/>
          <w:sz w:val="24"/>
          <w:szCs w:val="24"/>
        </w:rPr>
        <w:t>answering</w:t>
      </w:r>
      <w:r w:rsidR="003B59A9" w:rsidRPr="00AE3619">
        <w:rPr>
          <w:rFonts w:ascii="Arial" w:hAnsi="Arial" w:cs="Arial"/>
          <w:sz w:val="24"/>
          <w:szCs w:val="24"/>
        </w:rPr>
        <w:t xml:space="preserve"> affidavit relating to an application by the Commission to amend its application to the Tribunal. The application to amend had been withdrawn by the Commission. </w:t>
      </w:r>
    </w:p>
    <w:p w:rsidR="003B59A9" w:rsidRPr="00AE3619" w:rsidRDefault="003B59A9" w:rsidP="00AE361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3619">
        <w:rPr>
          <w:rFonts w:ascii="Arial" w:hAnsi="Arial" w:cs="Arial"/>
          <w:b/>
          <w:sz w:val="24"/>
          <w:szCs w:val="24"/>
        </w:rPr>
        <w:t>Background</w:t>
      </w:r>
    </w:p>
    <w:p w:rsidR="006F28EA" w:rsidRPr="00AE3619" w:rsidRDefault="006F28EA" w:rsidP="00AE3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3619">
        <w:rPr>
          <w:rFonts w:ascii="Arial" w:hAnsi="Arial" w:cs="Arial"/>
          <w:sz w:val="24"/>
          <w:szCs w:val="24"/>
        </w:rPr>
        <w:t>In January 2007, the Commission referred a cartel case to the Tribunal against Allens Mescho, Wireforce Steelbar, Hendok, Galvwire, Independent Galvanising and Meshrite, alleging that the respondents directly or indirectly fixed a purch</w:t>
      </w:r>
      <w:r w:rsidR="00C2580A">
        <w:rPr>
          <w:rFonts w:ascii="Arial" w:hAnsi="Arial" w:cs="Arial"/>
          <w:sz w:val="24"/>
          <w:szCs w:val="24"/>
        </w:rPr>
        <w:t xml:space="preserve">ase or selling price in respect </w:t>
      </w:r>
      <w:r w:rsidRPr="00AE3619">
        <w:rPr>
          <w:rFonts w:ascii="Arial" w:hAnsi="Arial" w:cs="Arial"/>
          <w:sz w:val="24"/>
          <w:szCs w:val="24"/>
        </w:rPr>
        <w:t xml:space="preserve">of lightly galvanised wire, nails, wire and various wire products. </w:t>
      </w:r>
    </w:p>
    <w:p w:rsidR="006F28EA" w:rsidRPr="00AE3619" w:rsidRDefault="006F28EA" w:rsidP="00AE3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3619">
        <w:rPr>
          <w:rFonts w:ascii="Arial" w:hAnsi="Arial" w:cs="Arial"/>
          <w:sz w:val="24"/>
          <w:szCs w:val="24"/>
        </w:rPr>
        <w:t xml:space="preserve">Following this referral, during July 2008, Consolidated Wire Industries (CWI), a subsidiary of Scaw South Africa (Pty) Ltd, admitted that its employees participated in price-fixing meetings with their competitors namely Cape Gate, Allens Meshco and Hendok. They agreed on a national price list for wire and wire products, on adjustments to the national price list and in collusive tendering of cable armouring wire. CWI applied for leniency. </w:t>
      </w:r>
    </w:p>
    <w:p w:rsidR="006F28EA" w:rsidRDefault="006F28EA" w:rsidP="00AE3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3619">
        <w:rPr>
          <w:rFonts w:ascii="Arial" w:hAnsi="Arial" w:cs="Arial"/>
          <w:sz w:val="24"/>
          <w:szCs w:val="24"/>
        </w:rPr>
        <w:t xml:space="preserve">CWI and Cape Gate are alleged to have also agreed not to target each other’s customers. Evidence gathered by the Commission through its investigation confirms that, from </w:t>
      </w:r>
      <w:r w:rsidR="00835528">
        <w:rPr>
          <w:rFonts w:ascii="Arial" w:hAnsi="Arial" w:cs="Arial"/>
          <w:sz w:val="24"/>
          <w:szCs w:val="24"/>
        </w:rPr>
        <w:t xml:space="preserve">about </w:t>
      </w:r>
      <w:r w:rsidRPr="00AE3619">
        <w:rPr>
          <w:rFonts w:ascii="Arial" w:hAnsi="Arial" w:cs="Arial"/>
          <w:sz w:val="24"/>
          <w:szCs w:val="24"/>
        </w:rPr>
        <w:t>2001 to 2008, the respondents contravened the Competition Act by engaging in price-fixing, market allocation and collusive tendering. The tenders involved include tenders from Harmony Gold, African Cables and Malasela Technologies.</w:t>
      </w:r>
    </w:p>
    <w:p w:rsidR="0046530E" w:rsidRPr="00B0166C" w:rsidRDefault="0046530E" w:rsidP="0046530E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Issued by: </w:t>
      </w:r>
    </w:p>
    <w:p w:rsidR="0046530E" w:rsidRPr="00B0166C" w:rsidRDefault="0046530E" w:rsidP="0046530E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46530E" w:rsidRPr="00B0166C" w:rsidRDefault="0046530E" w:rsidP="0046530E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>Communications: Competition Tribunal   </w:t>
      </w:r>
    </w:p>
    <w:p w:rsidR="0046530E" w:rsidRPr="00B0166C" w:rsidRDefault="0046530E" w:rsidP="0046530E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46530E" w:rsidRPr="00B0166C" w:rsidRDefault="0046530E" w:rsidP="0046530E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>Cell: +27 (0) 73 007 5603  </w:t>
      </w:r>
    </w:p>
    <w:p w:rsidR="0046530E" w:rsidRPr="00B0166C" w:rsidRDefault="0046530E" w:rsidP="0046530E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:rsidR="0046530E" w:rsidRPr="00B0166C" w:rsidRDefault="0046530E" w:rsidP="0046530E">
      <w:pPr>
        <w:spacing w:after="0" w:line="240" w:lineRule="auto"/>
        <w:jc w:val="both"/>
        <w:rPr>
          <w:rFonts w:ascii="Arial" w:hAnsi="Arial" w:cs="Arial"/>
        </w:rPr>
      </w:pPr>
      <w:r w:rsidRPr="00B0166C">
        <w:rPr>
          <w:rFonts w:ascii="Arial" w:hAnsi="Arial" w:cs="Arial"/>
          <w:color w:val="000000"/>
          <w:lang w:eastAsia="en-ZA"/>
        </w:rPr>
        <w:t xml:space="preserve">E-Mail: </w:t>
      </w:r>
      <w:hyperlink r:id="rId5" w:history="1">
        <w:r w:rsidRPr="00B0166C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B0166C">
        <w:rPr>
          <w:rFonts w:ascii="Arial" w:hAnsi="Arial" w:cs="Arial"/>
        </w:rPr>
        <w:t xml:space="preserve"> </w:t>
      </w:r>
    </w:p>
    <w:p w:rsidR="0046530E" w:rsidRPr="00B0166C" w:rsidRDefault="0046530E" w:rsidP="0046530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46530E" w:rsidRPr="00B0166C" w:rsidRDefault="0046530E" w:rsidP="0046530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46530E" w:rsidRPr="00B0166C" w:rsidRDefault="0046530E" w:rsidP="0046530E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>On Behalf Of:</w:t>
      </w:r>
    </w:p>
    <w:p w:rsidR="0046530E" w:rsidRPr="00B0166C" w:rsidRDefault="0046530E" w:rsidP="0046530E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46530E" w:rsidRPr="00B0166C" w:rsidRDefault="0046530E" w:rsidP="0046530E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46530E" w:rsidRPr="00B0166C" w:rsidRDefault="0046530E" w:rsidP="0046530E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46530E" w:rsidRPr="00B0166C" w:rsidRDefault="0046530E" w:rsidP="0046530E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46530E" w:rsidRPr="00B0166C" w:rsidRDefault="0046530E" w:rsidP="0046530E">
      <w:pPr>
        <w:spacing w:after="0" w:line="240" w:lineRule="auto"/>
        <w:jc w:val="both"/>
        <w:rPr>
          <w:rFonts w:ascii="Arial" w:hAnsi="Arial" w:cs="Arial"/>
        </w:rPr>
      </w:pPr>
      <w:r w:rsidRPr="00B0166C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B0166C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46530E" w:rsidRPr="00AE3619" w:rsidRDefault="0046530E" w:rsidP="00AE3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28EA" w:rsidRPr="00AE3619" w:rsidRDefault="006F28EA" w:rsidP="00AE36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F28EA" w:rsidRPr="00AE36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A"/>
    <w:rsid w:val="00076970"/>
    <w:rsid w:val="0024297A"/>
    <w:rsid w:val="0026449C"/>
    <w:rsid w:val="002A5A09"/>
    <w:rsid w:val="003B59A9"/>
    <w:rsid w:val="0046530E"/>
    <w:rsid w:val="004755EC"/>
    <w:rsid w:val="00494CBE"/>
    <w:rsid w:val="00530DCF"/>
    <w:rsid w:val="006B0258"/>
    <w:rsid w:val="006F28EA"/>
    <w:rsid w:val="00835528"/>
    <w:rsid w:val="00977562"/>
    <w:rsid w:val="00AE3619"/>
    <w:rsid w:val="00C2580A"/>
    <w:rsid w:val="00C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8E4D7C-78FA-46B2-87C1-9FCE7412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E36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5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file:///C:\Users\AlistairV\AppData\Local\Microsoft\Windows\Temporary%20Internet%20Files\Content.Outlook\HMBET88G\chantelleb@comptrib.co.z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3</cp:revision>
  <dcterms:created xsi:type="dcterms:W3CDTF">2017-03-07T11:34:00Z</dcterms:created>
  <dcterms:modified xsi:type="dcterms:W3CDTF">2017-03-07T11:35:00Z</dcterms:modified>
</cp:coreProperties>
</file>