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836" w:rsidRDefault="00CB1666" w:rsidP="00E41BF5">
      <w:pPr>
        <w:spacing w:after="0" w:line="240" w:lineRule="auto"/>
        <w:jc w:val="center"/>
        <w:rPr>
          <w:rFonts w:ascii="Arial" w:hAnsi="Arial" w:cs="Arial"/>
          <w:b/>
        </w:rPr>
      </w:pPr>
      <w:r w:rsidRPr="00CB1666">
        <w:rPr>
          <w:rFonts w:ascii="Arial" w:hAnsi="Arial" w:cs="Arial"/>
          <w:b/>
          <w:noProof/>
          <w:lang w:val="en-US"/>
        </w:rPr>
        <w:drawing>
          <wp:inline distT="0" distB="0" distL="0" distR="0">
            <wp:extent cx="1085850" cy="714375"/>
            <wp:effectExtent l="0" t="0" r="0" b="9525"/>
            <wp:docPr id="1" name="Picture 1" descr="C:\Users\chantelleb\AppData\Local\Microsoft\Windows\INetCache\Content.Outlook\O7Q35GCW\com_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ntelleb\AppData\Local\Microsoft\Windows\INetCache\Content.Outlook\O7Q35GCW\com_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666" w:rsidRDefault="00CB1666" w:rsidP="00E41BF5">
      <w:pPr>
        <w:spacing w:after="0" w:line="240" w:lineRule="auto"/>
        <w:jc w:val="center"/>
        <w:rPr>
          <w:rFonts w:ascii="Arial" w:hAnsi="Arial" w:cs="Arial"/>
          <w:b/>
        </w:rPr>
      </w:pPr>
    </w:p>
    <w:p w:rsidR="00CB1666" w:rsidRPr="00E41BF5" w:rsidRDefault="00CB1666" w:rsidP="00E41BF5">
      <w:pPr>
        <w:spacing w:after="0" w:line="240" w:lineRule="auto"/>
        <w:jc w:val="center"/>
        <w:rPr>
          <w:rFonts w:ascii="Arial" w:hAnsi="Arial" w:cs="Arial"/>
          <w:b/>
        </w:rPr>
      </w:pPr>
    </w:p>
    <w:p w:rsidR="00557836" w:rsidRDefault="00A62B28" w:rsidP="00E41BF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OUTCOME OF </w:t>
      </w:r>
      <w:r w:rsidR="003D7A1C">
        <w:rPr>
          <w:rFonts w:ascii="Arial" w:hAnsi="Arial" w:cs="Arial"/>
          <w:b/>
        </w:rPr>
        <w:t xml:space="preserve">TRIBUNAL </w:t>
      </w:r>
      <w:r w:rsidR="00E63F14">
        <w:rPr>
          <w:rFonts w:ascii="Arial" w:hAnsi="Arial" w:cs="Arial"/>
          <w:b/>
        </w:rPr>
        <w:t xml:space="preserve">HEARING </w:t>
      </w:r>
      <w:r w:rsidR="003D7A1C">
        <w:rPr>
          <w:rFonts w:ascii="Arial" w:hAnsi="Arial" w:cs="Arial"/>
          <w:b/>
        </w:rPr>
        <w:t xml:space="preserve">FOR WEDNESDAY, </w:t>
      </w:r>
      <w:r w:rsidR="0047797C">
        <w:rPr>
          <w:rFonts w:ascii="Arial" w:hAnsi="Arial" w:cs="Arial"/>
          <w:b/>
        </w:rPr>
        <w:t>21</w:t>
      </w:r>
      <w:r w:rsidR="003D7A1C">
        <w:rPr>
          <w:rFonts w:ascii="Arial" w:hAnsi="Arial" w:cs="Arial"/>
          <w:b/>
        </w:rPr>
        <w:t xml:space="preserve"> OCTOBER 2015</w:t>
      </w:r>
    </w:p>
    <w:p w:rsidR="002377DC" w:rsidRDefault="002377DC" w:rsidP="00E41BF5">
      <w:pPr>
        <w:spacing w:after="0" w:line="240" w:lineRule="auto"/>
        <w:jc w:val="both"/>
        <w:rPr>
          <w:rFonts w:ascii="Arial" w:hAnsi="Arial" w:cs="Arial"/>
          <w:b/>
        </w:rPr>
      </w:pPr>
    </w:p>
    <w:p w:rsidR="00557836" w:rsidRPr="00E41BF5" w:rsidRDefault="00557836" w:rsidP="00E41BF5">
      <w:pPr>
        <w:spacing w:after="0" w:line="240" w:lineRule="auto"/>
        <w:jc w:val="both"/>
        <w:rPr>
          <w:rFonts w:ascii="Arial" w:hAnsi="Arial" w:cs="Arial"/>
          <w:b/>
        </w:rPr>
      </w:pPr>
    </w:p>
    <w:p w:rsidR="00557836" w:rsidRPr="00E41BF5" w:rsidRDefault="00557836" w:rsidP="00E41BF5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4" w:space="0" w:color="996633"/>
          <w:left w:val="single" w:sz="4" w:space="0" w:color="996633"/>
          <w:bottom w:val="single" w:sz="4" w:space="0" w:color="996633"/>
          <w:right w:val="single" w:sz="4" w:space="0" w:color="996633"/>
          <w:insideH w:val="single" w:sz="4" w:space="0" w:color="996633"/>
          <w:insideV w:val="single" w:sz="4" w:space="0" w:color="996633"/>
        </w:tblBorders>
        <w:tblLook w:val="04A0" w:firstRow="1" w:lastRow="0" w:firstColumn="1" w:lastColumn="0" w:noHBand="0" w:noVBand="1"/>
      </w:tblPr>
      <w:tblGrid>
        <w:gridCol w:w="3082"/>
        <w:gridCol w:w="3126"/>
        <w:gridCol w:w="2808"/>
      </w:tblGrid>
      <w:tr w:rsidR="003E2704" w:rsidRPr="00E41BF5" w:rsidTr="003E2704">
        <w:tc>
          <w:tcPr>
            <w:tcW w:w="3082" w:type="dxa"/>
            <w:shd w:val="clear" w:color="auto" w:fill="996633"/>
          </w:tcPr>
          <w:p w:rsidR="003E2704" w:rsidRPr="00196D15" w:rsidRDefault="003E2704" w:rsidP="00E41BF5">
            <w:pPr>
              <w:rPr>
                <w:rFonts w:ascii="Arial" w:hAnsi="Arial" w:cs="Arial"/>
                <w:color w:val="FFFFFF" w:themeColor="background1"/>
              </w:rPr>
            </w:pPr>
            <w:r w:rsidRPr="00196D15">
              <w:rPr>
                <w:rFonts w:ascii="Arial" w:hAnsi="Arial" w:cs="Arial"/>
                <w:color w:val="FFFFFF" w:themeColor="background1"/>
              </w:rPr>
              <w:t>Type of matter</w:t>
            </w:r>
          </w:p>
        </w:tc>
        <w:tc>
          <w:tcPr>
            <w:tcW w:w="3126" w:type="dxa"/>
            <w:shd w:val="clear" w:color="auto" w:fill="996633"/>
          </w:tcPr>
          <w:p w:rsidR="003E2704" w:rsidRPr="00196D15" w:rsidRDefault="003E2704" w:rsidP="00E41BF5">
            <w:pPr>
              <w:rPr>
                <w:rFonts w:ascii="Arial" w:hAnsi="Arial" w:cs="Arial"/>
                <w:color w:val="FFFFFF" w:themeColor="background1"/>
              </w:rPr>
            </w:pPr>
            <w:r w:rsidRPr="00196D15">
              <w:rPr>
                <w:rFonts w:ascii="Arial" w:hAnsi="Arial" w:cs="Arial"/>
                <w:color w:val="FFFFFF" w:themeColor="background1"/>
              </w:rPr>
              <w:t>Parties involved</w:t>
            </w:r>
          </w:p>
        </w:tc>
        <w:tc>
          <w:tcPr>
            <w:tcW w:w="2808" w:type="dxa"/>
            <w:shd w:val="clear" w:color="auto" w:fill="996633"/>
          </w:tcPr>
          <w:p w:rsidR="003E2704" w:rsidRPr="00196D15" w:rsidRDefault="00F70051" w:rsidP="00E41BF5">
            <w:pPr>
              <w:rPr>
                <w:rFonts w:ascii="Arial" w:hAnsi="Arial" w:cs="Arial"/>
                <w:color w:val="FFFFFF" w:themeColor="background1"/>
              </w:rPr>
            </w:pPr>
            <w:r w:rsidRPr="00196D15">
              <w:rPr>
                <w:rFonts w:ascii="Arial" w:hAnsi="Arial" w:cs="Arial"/>
                <w:color w:val="FFFFFF" w:themeColor="background1"/>
              </w:rPr>
              <w:t xml:space="preserve">Competition </w:t>
            </w:r>
            <w:r w:rsidR="003E2704" w:rsidRPr="00196D15">
              <w:rPr>
                <w:rFonts w:ascii="Arial" w:hAnsi="Arial" w:cs="Arial"/>
                <w:color w:val="FFFFFF" w:themeColor="background1"/>
              </w:rPr>
              <w:t>Commission’s recommendation to Tribunal</w:t>
            </w:r>
          </w:p>
        </w:tc>
      </w:tr>
      <w:tr w:rsidR="00677CFE" w:rsidRPr="00E41BF5" w:rsidTr="003E2704">
        <w:tc>
          <w:tcPr>
            <w:tcW w:w="3082" w:type="dxa"/>
          </w:tcPr>
          <w:p w:rsidR="00010D5B" w:rsidRPr="00196D15" w:rsidRDefault="003D7A1C" w:rsidP="00E41B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Large Merger</w:t>
            </w:r>
          </w:p>
        </w:tc>
        <w:tc>
          <w:tcPr>
            <w:tcW w:w="3126" w:type="dxa"/>
          </w:tcPr>
          <w:p w:rsidR="00677CFE" w:rsidRPr="00D31E12" w:rsidRDefault="00340911" w:rsidP="00E41BF5">
            <w:pPr>
              <w:jc w:val="both"/>
              <w:rPr>
                <w:rFonts w:ascii="Arial" w:hAnsi="Arial" w:cs="Arial"/>
                <w:color w:val="000000"/>
              </w:rPr>
            </w:pPr>
            <w:r>
              <w:t>Masana Petroleum Solutions (Pty) Ltd and BP Southern Africa (Pty) Ltd</w:t>
            </w:r>
          </w:p>
        </w:tc>
        <w:tc>
          <w:tcPr>
            <w:tcW w:w="2808" w:type="dxa"/>
          </w:tcPr>
          <w:p w:rsidR="00677CFE" w:rsidRPr="00196D15" w:rsidRDefault="003D7A1C" w:rsidP="00F7005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Approve the merger without conditions</w:t>
            </w:r>
          </w:p>
        </w:tc>
      </w:tr>
      <w:tr w:rsidR="00196D15" w:rsidRPr="00E41BF5" w:rsidTr="003E2704">
        <w:tc>
          <w:tcPr>
            <w:tcW w:w="3082" w:type="dxa"/>
          </w:tcPr>
          <w:p w:rsidR="00196D15" w:rsidRPr="00196D15" w:rsidRDefault="003D7A1C" w:rsidP="00196D1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Large Merger </w:t>
            </w:r>
          </w:p>
        </w:tc>
        <w:tc>
          <w:tcPr>
            <w:tcW w:w="3126" w:type="dxa"/>
          </w:tcPr>
          <w:p w:rsidR="00196D15" w:rsidRPr="00196D15" w:rsidRDefault="00340911" w:rsidP="00C9733F">
            <w:pPr>
              <w:jc w:val="both"/>
              <w:rPr>
                <w:rFonts w:ascii="Arial" w:hAnsi="Arial" w:cs="Arial"/>
              </w:rPr>
            </w:pPr>
            <w:r>
              <w:t>Investec Bank Ltd (Investec) As Nominee for a Private Limited Liability Company (New ITEC HOLDCO) AND ITEC Group (Pty) Ltd and ITEC (Pty) Ltd</w:t>
            </w:r>
          </w:p>
        </w:tc>
        <w:tc>
          <w:tcPr>
            <w:tcW w:w="2808" w:type="dxa"/>
          </w:tcPr>
          <w:p w:rsidR="00196D15" w:rsidRPr="00196D15" w:rsidRDefault="00C9733F" w:rsidP="00196D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Approve the merger without conditions</w:t>
            </w:r>
          </w:p>
        </w:tc>
      </w:tr>
      <w:tr w:rsidR="00196D15" w:rsidRPr="00E41BF5" w:rsidTr="003E2704">
        <w:tc>
          <w:tcPr>
            <w:tcW w:w="3082" w:type="dxa"/>
          </w:tcPr>
          <w:p w:rsidR="00196D15" w:rsidRPr="00196D15" w:rsidRDefault="0047797C" w:rsidP="004779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Large Merger </w:t>
            </w:r>
          </w:p>
        </w:tc>
        <w:tc>
          <w:tcPr>
            <w:tcW w:w="3126" w:type="dxa"/>
          </w:tcPr>
          <w:p w:rsidR="00196D15" w:rsidRPr="00196D15" w:rsidRDefault="00340911" w:rsidP="00196D15">
            <w:pPr>
              <w:jc w:val="both"/>
              <w:rPr>
                <w:rFonts w:ascii="Arial" w:hAnsi="Arial" w:cs="Arial"/>
                <w:color w:val="000000"/>
              </w:rPr>
            </w:pPr>
            <w:r>
              <w:t>Actis 4 PCC with Respect to The Mahogany Cell and Coricraft Group (Pty) Ltd</w:t>
            </w:r>
          </w:p>
        </w:tc>
        <w:tc>
          <w:tcPr>
            <w:tcW w:w="2808" w:type="dxa"/>
          </w:tcPr>
          <w:p w:rsidR="00196D15" w:rsidRPr="00196D15" w:rsidRDefault="00340911" w:rsidP="00B60E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Approve the merger without conditions</w:t>
            </w:r>
          </w:p>
        </w:tc>
      </w:tr>
      <w:tr w:rsidR="00CB1666" w:rsidRPr="00E41BF5" w:rsidTr="003E2704">
        <w:tc>
          <w:tcPr>
            <w:tcW w:w="3082" w:type="dxa"/>
          </w:tcPr>
          <w:p w:rsidR="00CB1666" w:rsidRDefault="0047797C" w:rsidP="00196D1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Large Merger </w:t>
            </w:r>
          </w:p>
          <w:p w:rsidR="00CB1666" w:rsidRPr="00196D15" w:rsidRDefault="00CB1666" w:rsidP="00196D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26" w:type="dxa"/>
          </w:tcPr>
          <w:p w:rsidR="00CB1666" w:rsidRPr="00196D15" w:rsidRDefault="0047797C" w:rsidP="00196D15">
            <w:pPr>
              <w:jc w:val="both"/>
              <w:rPr>
                <w:rFonts w:ascii="Arial" w:hAnsi="Arial" w:cs="Arial"/>
                <w:color w:val="000000"/>
              </w:rPr>
            </w:pPr>
            <w:r>
              <w:t>Government Employees Pension Fund and Siyanda Resources (Pty) Ltd</w:t>
            </w:r>
          </w:p>
        </w:tc>
        <w:tc>
          <w:tcPr>
            <w:tcW w:w="2808" w:type="dxa"/>
          </w:tcPr>
          <w:p w:rsidR="00CB1666" w:rsidRPr="00196D15" w:rsidRDefault="00B60E41" w:rsidP="004779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Approve </w:t>
            </w:r>
            <w:r w:rsidR="0047797C">
              <w:rPr>
                <w:rFonts w:ascii="Arial" w:hAnsi="Arial" w:cs="Arial"/>
              </w:rPr>
              <w:t xml:space="preserve">merger without conditions </w:t>
            </w:r>
          </w:p>
        </w:tc>
      </w:tr>
      <w:tr w:rsidR="0047797C" w:rsidRPr="00E41BF5" w:rsidTr="0047797C">
        <w:trPr>
          <w:trHeight w:val="872"/>
        </w:trPr>
        <w:tc>
          <w:tcPr>
            <w:tcW w:w="3082" w:type="dxa"/>
          </w:tcPr>
          <w:p w:rsidR="0047797C" w:rsidRDefault="0047797C" w:rsidP="00196D1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Large Merger </w:t>
            </w:r>
          </w:p>
        </w:tc>
        <w:tc>
          <w:tcPr>
            <w:tcW w:w="3126" w:type="dxa"/>
          </w:tcPr>
          <w:p w:rsidR="0047797C" w:rsidRDefault="0047797C" w:rsidP="00196D15">
            <w:pPr>
              <w:jc w:val="both"/>
            </w:pPr>
            <w:r>
              <w:t>Tiso Blackstar Group SE and Robor (Pty) Ltd</w:t>
            </w:r>
          </w:p>
        </w:tc>
        <w:tc>
          <w:tcPr>
            <w:tcW w:w="2808" w:type="dxa"/>
          </w:tcPr>
          <w:p w:rsidR="0047797C" w:rsidRDefault="0047797C" w:rsidP="004779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Approve merger without conditions</w:t>
            </w:r>
          </w:p>
        </w:tc>
      </w:tr>
    </w:tbl>
    <w:p w:rsidR="00196D15" w:rsidRDefault="00196D15" w:rsidP="00E41BF5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E63F14" w:rsidRDefault="00E63F14" w:rsidP="00340911">
      <w:r>
        <w:t>The Competition Tribunal has approved, without conditions, the mergers of: Masana Petroleum/BP Southern Africa; Investec Bank/ITEC; Actis/Coricraft; the Government Employees Pension Fund/ Siyanda Resources, and Tiso Blackstar</w:t>
      </w:r>
      <w:r w:rsidR="00426161">
        <w:t xml:space="preserve"> Group</w:t>
      </w:r>
      <w:r>
        <w:t xml:space="preserve">/Robor. </w:t>
      </w:r>
    </w:p>
    <w:p w:rsidR="00340911" w:rsidRDefault="00340911" w:rsidP="00340911">
      <w:r>
        <w:t>Government Employees Pension Fund</w:t>
      </w:r>
      <w:r w:rsidR="00E63F14">
        <w:t xml:space="preserve"> merger with </w:t>
      </w:r>
      <w:r>
        <w:t>Siyanda</w:t>
      </w:r>
      <w:r w:rsidR="0083559F">
        <w:t xml:space="preserve"> will see the GEPF acquire</w:t>
      </w:r>
      <w:r w:rsidR="003326BC">
        <w:t xml:space="preserve"> a stake in Siyanda Resources</w:t>
      </w:r>
      <w:r w:rsidR="0083559F">
        <w:t xml:space="preserve">. </w:t>
      </w:r>
      <w:r>
        <w:t>Siyanda Resources is an investment company focusing in the resources sector with particular emphasis on coal, precious and base metal, industrial minerals and chrome operations.</w:t>
      </w:r>
      <w:r w:rsidR="00E63F14">
        <w:t xml:space="preserve"> The Competition Commission found that </w:t>
      </w:r>
      <w:r w:rsidR="003326BC">
        <w:t xml:space="preserve">while Siyanda had controlling interests in the chrome mining, ferrochrome producing and platinum markets, </w:t>
      </w:r>
      <w:r w:rsidR="00E63F14">
        <w:t xml:space="preserve">the GEPF though </w:t>
      </w:r>
      <w:r w:rsidR="003326BC">
        <w:t xml:space="preserve">PIC does not. </w:t>
      </w:r>
    </w:p>
    <w:p w:rsidR="00BA0E2D" w:rsidRDefault="00E63F14" w:rsidP="00340911">
      <w:r>
        <w:t xml:space="preserve">In the merger between </w:t>
      </w:r>
      <w:r w:rsidR="00BA0E2D">
        <w:t xml:space="preserve">Investec Bank, as the nominee of </w:t>
      </w:r>
      <w:r w:rsidR="003326BC">
        <w:t>New Itec Holdco</w:t>
      </w:r>
      <w:r w:rsidR="00BA0E2D">
        <w:t>, of</w:t>
      </w:r>
      <w:r w:rsidR="00340911">
        <w:t xml:space="preserve"> </w:t>
      </w:r>
      <w:r w:rsidR="003326BC">
        <w:t>Itec Group and Itec</w:t>
      </w:r>
      <w:r w:rsidR="00BA0E2D">
        <w:t xml:space="preserve"> has b</w:t>
      </w:r>
      <w:r>
        <w:t xml:space="preserve">een approved by the Commission, and a new </w:t>
      </w:r>
      <w:r w:rsidR="00BA0E2D">
        <w:t xml:space="preserve">special purpose vehicle </w:t>
      </w:r>
      <w:r w:rsidR="00340911">
        <w:t>New Itec Holdco will co</w:t>
      </w:r>
      <w:r>
        <w:t xml:space="preserve">ntrol the Itec Group and Itec. </w:t>
      </w:r>
      <w:r w:rsidR="00340911">
        <w:t xml:space="preserve">The IT equipment distributed by Itec Group and Itec include printers, scanners and photocopy machines. </w:t>
      </w:r>
    </w:p>
    <w:p w:rsidR="00340911" w:rsidRDefault="00E63F14" w:rsidP="00340911">
      <w:r>
        <w:t xml:space="preserve">Following the merger, </w:t>
      </w:r>
      <w:r w:rsidR="00340911">
        <w:t>Tiso</w:t>
      </w:r>
      <w:r>
        <w:t xml:space="preserve"> Blackstar</w:t>
      </w:r>
      <w:r w:rsidR="00340911">
        <w:t xml:space="preserve"> </w:t>
      </w:r>
      <w:r>
        <w:t xml:space="preserve">Group </w:t>
      </w:r>
      <w:r w:rsidR="00340911">
        <w:t>will control Robor. Tiso is an investment holding company with interests in a number of industries including media and entertainment, steel and real estate. Robor is a manufacturer and supplier of welded tube and pipes, cold formed steel profiles and associated value added products.</w:t>
      </w:r>
    </w:p>
    <w:p w:rsidR="00BA0E2D" w:rsidRDefault="00E63F14" w:rsidP="00340911">
      <w:r>
        <w:t>BP Southern Africa wil</w:t>
      </w:r>
      <w:r w:rsidR="005314BE">
        <w:t xml:space="preserve">l gain </w:t>
      </w:r>
      <w:r>
        <w:t xml:space="preserve">control over Mansana </w:t>
      </w:r>
      <w:r w:rsidR="005314BE">
        <w:t xml:space="preserve">Petroleum following its merger with its Speciality Chemicals Division. </w:t>
      </w:r>
    </w:p>
    <w:p w:rsidR="00340911" w:rsidRPr="00483DEC" w:rsidRDefault="00340911" w:rsidP="002377DC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83DEC">
        <w:rPr>
          <w:rFonts w:eastAsia="Times New Roman" w:cs="Arial"/>
          <w:color w:val="000000"/>
        </w:rPr>
        <w:t>Private equity firm</w:t>
      </w:r>
      <w:r w:rsidRPr="002377DC">
        <w:rPr>
          <w:rFonts w:eastAsia="Times New Roman" w:cs="Arial"/>
          <w:color w:val="000000"/>
        </w:rPr>
        <w:t> </w:t>
      </w:r>
      <w:r w:rsidRPr="002377DC">
        <w:rPr>
          <w:rFonts w:eastAsia="Times New Roman" w:cs="Arial"/>
          <w:bCs/>
          <w:color w:val="000000"/>
          <w:bdr w:val="none" w:sz="0" w:space="0" w:color="auto" w:frame="1"/>
        </w:rPr>
        <w:t>Actis</w:t>
      </w:r>
      <w:r w:rsidRPr="002377DC">
        <w:rPr>
          <w:rFonts w:eastAsia="Times New Roman" w:cs="Arial"/>
          <w:color w:val="000000"/>
        </w:rPr>
        <w:t> </w:t>
      </w:r>
      <w:r w:rsidRPr="00483DEC">
        <w:rPr>
          <w:rFonts w:eastAsia="Times New Roman" w:cs="Arial"/>
          <w:color w:val="000000"/>
        </w:rPr>
        <w:t xml:space="preserve">has bought a </w:t>
      </w:r>
      <w:r w:rsidR="002377DC">
        <w:rPr>
          <w:rFonts w:eastAsia="Times New Roman" w:cs="Arial"/>
          <w:color w:val="000000"/>
        </w:rPr>
        <w:t xml:space="preserve">stake in </w:t>
      </w:r>
      <w:r w:rsidRPr="00483DEC">
        <w:rPr>
          <w:rFonts w:eastAsia="Times New Roman" w:cs="Arial"/>
          <w:color w:val="000000"/>
        </w:rPr>
        <w:t>Coricraft</w:t>
      </w:r>
      <w:r w:rsidR="002377DC">
        <w:rPr>
          <w:rFonts w:eastAsia="Times New Roman" w:cs="Arial"/>
          <w:color w:val="000000"/>
        </w:rPr>
        <w:t>, manufacturer and retailer of household furniture</w:t>
      </w:r>
      <w:r w:rsidRPr="00483DEC">
        <w:rPr>
          <w:rFonts w:eastAsia="Times New Roman" w:cs="Arial"/>
          <w:color w:val="000000"/>
        </w:rPr>
        <w:t xml:space="preserve">. </w:t>
      </w:r>
      <w:r w:rsidR="002377DC">
        <w:rPr>
          <w:rFonts w:eastAsia="Times New Roman" w:cs="Arial"/>
          <w:color w:val="000000"/>
        </w:rPr>
        <w:t>Actis invests primarily in consumer, healthcare, financial services, industrial, energy and real estate</w:t>
      </w:r>
      <w:r w:rsidR="005314BE">
        <w:rPr>
          <w:rFonts w:eastAsia="Times New Roman" w:cs="Arial"/>
          <w:color w:val="000000"/>
        </w:rPr>
        <w:t xml:space="preserve"> and had no interest in furniture sales or manufacture. </w:t>
      </w:r>
    </w:p>
    <w:p w:rsidR="00D31E12" w:rsidRDefault="00D31E12" w:rsidP="002F630B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2F630B" w:rsidRDefault="002F630B" w:rsidP="002F630B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C9733F" w:rsidRPr="00E02933" w:rsidRDefault="00C9733F" w:rsidP="00C9733F">
      <w:pPr>
        <w:spacing w:after="0" w:line="240" w:lineRule="auto"/>
        <w:jc w:val="both"/>
        <w:rPr>
          <w:rFonts w:ascii="Arial" w:hAnsi="Arial" w:cs="Arial"/>
          <w:lang w:eastAsia="en-ZA"/>
        </w:rPr>
      </w:pPr>
      <w:r>
        <w:rPr>
          <w:rFonts w:ascii="Arial" w:hAnsi="Arial" w:cs="Arial"/>
          <w:color w:val="000000"/>
          <w:lang w:eastAsia="en-ZA"/>
        </w:rPr>
        <w:t xml:space="preserve">Issued by: </w:t>
      </w:r>
    </w:p>
    <w:p w:rsidR="00C9733F" w:rsidRDefault="00C9733F" w:rsidP="00C9733F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>
        <w:rPr>
          <w:rFonts w:ascii="Arial" w:hAnsi="Arial" w:cs="Arial"/>
          <w:color w:val="000000"/>
          <w:lang w:eastAsia="en-ZA"/>
        </w:rPr>
        <w:t xml:space="preserve">Chantelle Benjamin </w:t>
      </w:r>
    </w:p>
    <w:p w:rsidR="00C9733F" w:rsidRDefault="00C9733F" w:rsidP="00C9733F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>
        <w:rPr>
          <w:rFonts w:ascii="Arial" w:hAnsi="Arial" w:cs="Arial"/>
          <w:color w:val="000000"/>
          <w:lang w:eastAsia="en-ZA"/>
        </w:rPr>
        <w:t>Communications</w:t>
      </w:r>
      <w:r w:rsidRPr="00E02933">
        <w:rPr>
          <w:rFonts w:ascii="Arial" w:hAnsi="Arial" w:cs="Arial"/>
          <w:color w:val="000000"/>
          <w:lang w:eastAsia="en-ZA"/>
        </w:rPr>
        <w:t>: Competition Tribunal   </w:t>
      </w:r>
    </w:p>
    <w:p w:rsidR="00C9733F" w:rsidRPr="00E02933" w:rsidRDefault="00C9733F" w:rsidP="00C9733F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>
        <w:rPr>
          <w:rFonts w:ascii="Arial" w:hAnsi="Arial" w:cs="Arial"/>
          <w:color w:val="000000"/>
          <w:lang w:eastAsia="en-ZA"/>
        </w:rPr>
        <w:t>Tel (012)394 1383</w:t>
      </w:r>
      <w:r w:rsidRPr="00E02933">
        <w:rPr>
          <w:rFonts w:ascii="Arial" w:hAnsi="Arial" w:cs="Arial"/>
          <w:color w:val="000000"/>
          <w:lang w:eastAsia="en-ZA"/>
        </w:rPr>
        <w:t xml:space="preserve">                                      </w:t>
      </w:r>
    </w:p>
    <w:p w:rsidR="00C9733F" w:rsidRPr="00E02933" w:rsidRDefault="00C9733F" w:rsidP="00C9733F">
      <w:pPr>
        <w:spacing w:after="0" w:line="240" w:lineRule="auto"/>
        <w:jc w:val="both"/>
        <w:rPr>
          <w:rFonts w:ascii="Arial" w:hAnsi="Arial" w:cs="Arial"/>
          <w:lang w:eastAsia="en-ZA"/>
        </w:rPr>
      </w:pPr>
      <w:r>
        <w:rPr>
          <w:rFonts w:ascii="Arial" w:hAnsi="Arial" w:cs="Arial"/>
          <w:color w:val="000000"/>
          <w:lang w:eastAsia="en-ZA"/>
        </w:rPr>
        <w:t>Cell: +27 (0) 73 007 5603</w:t>
      </w:r>
      <w:r w:rsidRPr="00E02933">
        <w:rPr>
          <w:rFonts w:ascii="Arial" w:hAnsi="Arial" w:cs="Arial"/>
          <w:color w:val="000000"/>
          <w:lang w:eastAsia="en-ZA"/>
        </w:rPr>
        <w:t xml:space="preserve">                                          </w:t>
      </w:r>
    </w:p>
    <w:p w:rsidR="00C9733F" w:rsidRPr="00E02933" w:rsidRDefault="00C9733F" w:rsidP="00C9733F">
      <w:pPr>
        <w:spacing w:after="0" w:line="240" w:lineRule="auto"/>
        <w:jc w:val="both"/>
        <w:rPr>
          <w:rFonts w:ascii="Arial" w:hAnsi="Arial" w:cs="Arial"/>
        </w:rPr>
      </w:pPr>
      <w:r w:rsidRPr="00E02933">
        <w:rPr>
          <w:rFonts w:ascii="Arial" w:hAnsi="Arial" w:cs="Arial"/>
          <w:color w:val="000000"/>
          <w:lang w:eastAsia="en-ZA"/>
        </w:rPr>
        <w:t xml:space="preserve">E-Mail: </w:t>
      </w:r>
      <w:hyperlink r:id="rId8" w:history="1">
        <w:r w:rsidRPr="00E02933">
          <w:rPr>
            <w:rStyle w:val="Hyperlink"/>
            <w:rFonts w:ascii="Arial" w:hAnsi="Arial" w:cs="Arial"/>
            <w:lang w:eastAsia="en-ZA"/>
          </w:rPr>
          <w:t>chantelleb@comptrib.co.za</w:t>
        </w:r>
      </w:hyperlink>
      <w:r w:rsidRPr="00E02933">
        <w:rPr>
          <w:rFonts w:ascii="Arial" w:hAnsi="Arial" w:cs="Arial"/>
        </w:rPr>
        <w:t xml:space="preserve"> </w:t>
      </w:r>
    </w:p>
    <w:p w:rsidR="00C9733F" w:rsidRPr="00E02933" w:rsidRDefault="00C9733F" w:rsidP="00C9733F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C9733F" w:rsidRPr="00E02933" w:rsidRDefault="00C9733F" w:rsidP="00C9733F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C9733F" w:rsidRPr="00E02933" w:rsidRDefault="00C9733F" w:rsidP="00C9733F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E02933">
        <w:rPr>
          <w:rFonts w:ascii="Arial" w:hAnsi="Arial" w:cs="Arial"/>
          <w:color w:val="000000"/>
          <w:lang w:eastAsia="en-ZA"/>
        </w:rPr>
        <w:t>On Behalf Of:</w:t>
      </w:r>
    </w:p>
    <w:p w:rsidR="00C9733F" w:rsidRPr="00E02933" w:rsidRDefault="00C9733F" w:rsidP="00C9733F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E02933">
        <w:rPr>
          <w:rFonts w:ascii="Arial" w:hAnsi="Arial" w:cs="Arial"/>
          <w:color w:val="000000"/>
          <w:lang w:eastAsia="en-ZA"/>
        </w:rPr>
        <w:t>Lerato Motaung                                                   </w:t>
      </w:r>
    </w:p>
    <w:p w:rsidR="00C9733F" w:rsidRPr="00E02933" w:rsidRDefault="00C9733F" w:rsidP="00C9733F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E02933">
        <w:rPr>
          <w:rFonts w:ascii="Arial" w:hAnsi="Arial" w:cs="Arial"/>
          <w:color w:val="000000"/>
          <w:lang w:eastAsia="en-ZA"/>
        </w:rPr>
        <w:t xml:space="preserve">Registrar: Competition Tribunal                                         </w:t>
      </w:r>
    </w:p>
    <w:p w:rsidR="00C9733F" w:rsidRPr="00E02933" w:rsidRDefault="00C9733F" w:rsidP="00C9733F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E02933">
        <w:rPr>
          <w:rFonts w:ascii="Arial" w:hAnsi="Arial" w:cs="Arial"/>
          <w:color w:val="000000"/>
          <w:lang w:eastAsia="en-ZA"/>
        </w:rPr>
        <w:t xml:space="preserve">Tel: (012) 394 3355                                              </w:t>
      </w:r>
    </w:p>
    <w:p w:rsidR="00C9733F" w:rsidRPr="00E02933" w:rsidRDefault="00C9733F" w:rsidP="00C9733F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E02933">
        <w:rPr>
          <w:rFonts w:ascii="Arial" w:hAnsi="Arial" w:cs="Arial"/>
          <w:color w:val="000000"/>
          <w:lang w:eastAsia="en-ZA"/>
        </w:rPr>
        <w:t xml:space="preserve">Cell: +27 (0) 82 556 3221                                               </w:t>
      </w:r>
    </w:p>
    <w:p w:rsidR="00C9733F" w:rsidRPr="00E02933" w:rsidRDefault="00C9733F" w:rsidP="00C9733F">
      <w:pPr>
        <w:spacing w:after="0" w:line="240" w:lineRule="auto"/>
        <w:jc w:val="both"/>
        <w:rPr>
          <w:rFonts w:ascii="Arial" w:hAnsi="Arial" w:cs="Arial"/>
        </w:rPr>
      </w:pPr>
      <w:r w:rsidRPr="00E02933">
        <w:rPr>
          <w:rFonts w:ascii="Arial" w:hAnsi="Arial" w:cs="Arial"/>
          <w:color w:val="000000"/>
          <w:lang w:eastAsia="en-ZA"/>
        </w:rPr>
        <w:t xml:space="preserve">E-Mail: </w:t>
      </w:r>
      <w:hyperlink r:id="rId9" w:history="1">
        <w:r w:rsidRPr="00E02933">
          <w:rPr>
            <w:rStyle w:val="Hyperlink"/>
            <w:rFonts w:ascii="Arial" w:hAnsi="Arial" w:cs="Arial"/>
            <w:lang w:eastAsia="en-ZA"/>
          </w:rPr>
          <w:t>LeratoM@comptrib.co.za</w:t>
        </w:r>
      </w:hyperlink>
    </w:p>
    <w:p w:rsidR="00C9733F" w:rsidRDefault="00C9733F" w:rsidP="00E41BF5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C9733F" w:rsidRDefault="00C9733F" w:rsidP="00E41BF5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C9733F" w:rsidRDefault="00C9733F" w:rsidP="00E41BF5">
      <w:pPr>
        <w:spacing w:after="0" w:line="240" w:lineRule="auto"/>
        <w:jc w:val="both"/>
        <w:rPr>
          <w:rFonts w:ascii="Arial" w:hAnsi="Arial" w:cs="Arial"/>
          <w:color w:val="000000"/>
        </w:rPr>
      </w:pPr>
    </w:p>
    <w:sectPr w:rsidR="00C973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5C8" w:rsidRDefault="00D265C8" w:rsidP="00886814">
      <w:pPr>
        <w:spacing w:after="0" w:line="240" w:lineRule="auto"/>
      </w:pPr>
      <w:r>
        <w:separator/>
      </w:r>
    </w:p>
  </w:endnote>
  <w:endnote w:type="continuationSeparator" w:id="0">
    <w:p w:rsidR="00D265C8" w:rsidRDefault="00D265C8" w:rsidP="00886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5C8" w:rsidRDefault="00D265C8" w:rsidP="00886814">
      <w:pPr>
        <w:spacing w:after="0" w:line="240" w:lineRule="auto"/>
      </w:pPr>
      <w:r>
        <w:separator/>
      </w:r>
    </w:p>
  </w:footnote>
  <w:footnote w:type="continuationSeparator" w:id="0">
    <w:p w:rsidR="00D265C8" w:rsidRDefault="00D265C8" w:rsidP="00886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AD1423"/>
    <w:multiLevelType w:val="hybridMultilevel"/>
    <w:tmpl w:val="7ABC097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5F21A4"/>
    <w:multiLevelType w:val="hybridMultilevel"/>
    <w:tmpl w:val="9E68A02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32747"/>
    <w:multiLevelType w:val="hybridMultilevel"/>
    <w:tmpl w:val="06E6150E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1116409"/>
    <w:multiLevelType w:val="multilevel"/>
    <w:tmpl w:val="D99256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7013FF"/>
    <w:multiLevelType w:val="hybridMultilevel"/>
    <w:tmpl w:val="6E5E76F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14"/>
    <w:rsid w:val="0000387B"/>
    <w:rsid w:val="000044F3"/>
    <w:rsid w:val="00010D5B"/>
    <w:rsid w:val="00061462"/>
    <w:rsid w:val="000E1A56"/>
    <w:rsid w:val="00100194"/>
    <w:rsid w:val="00101BE8"/>
    <w:rsid w:val="001420E7"/>
    <w:rsid w:val="00167ADC"/>
    <w:rsid w:val="00196D15"/>
    <w:rsid w:val="001B6D30"/>
    <w:rsid w:val="002310C2"/>
    <w:rsid w:val="002377DC"/>
    <w:rsid w:val="002453DF"/>
    <w:rsid w:val="002A0F91"/>
    <w:rsid w:val="002B7C78"/>
    <w:rsid w:val="002C098D"/>
    <w:rsid w:val="002F630B"/>
    <w:rsid w:val="00300C9B"/>
    <w:rsid w:val="00317F5B"/>
    <w:rsid w:val="003258E1"/>
    <w:rsid w:val="003326BC"/>
    <w:rsid w:val="00340911"/>
    <w:rsid w:val="00367A81"/>
    <w:rsid w:val="00385891"/>
    <w:rsid w:val="003A4502"/>
    <w:rsid w:val="003C3131"/>
    <w:rsid w:val="003D7A1C"/>
    <w:rsid w:val="003E2704"/>
    <w:rsid w:val="003F132B"/>
    <w:rsid w:val="00426161"/>
    <w:rsid w:val="00470AAF"/>
    <w:rsid w:val="0047797C"/>
    <w:rsid w:val="00480C35"/>
    <w:rsid w:val="004970C9"/>
    <w:rsid w:val="004A6DC2"/>
    <w:rsid w:val="004F122A"/>
    <w:rsid w:val="005314BE"/>
    <w:rsid w:val="00557836"/>
    <w:rsid w:val="005814B4"/>
    <w:rsid w:val="005B4C57"/>
    <w:rsid w:val="005F05C3"/>
    <w:rsid w:val="0064384D"/>
    <w:rsid w:val="00677CFE"/>
    <w:rsid w:val="00702420"/>
    <w:rsid w:val="007C2BAA"/>
    <w:rsid w:val="007D65EF"/>
    <w:rsid w:val="0083559F"/>
    <w:rsid w:val="0088093E"/>
    <w:rsid w:val="00886112"/>
    <w:rsid w:val="00886814"/>
    <w:rsid w:val="008C273E"/>
    <w:rsid w:val="00911D15"/>
    <w:rsid w:val="00913EE9"/>
    <w:rsid w:val="00944A4C"/>
    <w:rsid w:val="00982445"/>
    <w:rsid w:val="00990B6F"/>
    <w:rsid w:val="00997CC8"/>
    <w:rsid w:val="009B3E6D"/>
    <w:rsid w:val="00A62B28"/>
    <w:rsid w:val="00B011C2"/>
    <w:rsid w:val="00B35320"/>
    <w:rsid w:val="00B4376C"/>
    <w:rsid w:val="00B60E41"/>
    <w:rsid w:val="00B65ECF"/>
    <w:rsid w:val="00BA0E2D"/>
    <w:rsid w:val="00BC66CF"/>
    <w:rsid w:val="00BD3FCE"/>
    <w:rsid w:val="00C113B3"/>
    <w:rsid w:val="00C92154"/>
    <w:rsid w:val="00C9733F"/>
    <w:rsid w:val="00CB1666"/>
    <w:rsid w:val="00D265C8"/>
    <w:rsid w:val="00D31E12"/>
    <w:rsid w:val="00D70B81"/>
    <w:rsid w:val="00D70DC2"/>
    <w:rsid w:val="00D94490"/>
    <w:rsid w:val="00DD08E2"/>
    <w:rsid w:val="00DD2CFC"/>
    <w:rsid w:val="00E27B19"/>
    <w:rsid w:val="00E41BF5"/>
    <w:rsid w:val="00E63F14"/>
    <w:rsid w:val="00F31DD8"/>
    <w:rsid w:val="00F70051"/>
    <w:rsid w:val="00F96411"/>
    <w:rsid w:val="00F97F18"/>
    <w:rsid w:val="00FA6DEF"/>
    <w:rsid w:val="00FE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BD6360-D321-45FF-9035-885C4B13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814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868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681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6814"/>
    <w:rPr>
      <w:vertAlign w:val="superscript"/>
    </w:rPr>
  </w:style>
  <w:style w:type="table" w:styleId="TableGrid">
    <w:name w:val="Table Grid"/>
    <w:basedOn w:val="TableNormal"/>
    <w:uiPriority w:val="39"/>
    <w:rsid w:val="00557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578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2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hantelleb\Documents\chantelleb@comptrib.co.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eratoM@comptrib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Chantelle Benjamin</cp:lastModifiedBy>
  <cp:revision>4</cp:revision>
  <cp:lastPrinted>2015-10-20T08:27:00Z</cp:lastPrinted>
  <dcterms:created xsi:type="dcterms:W3CDTF">2015-10-21T11:58:00Z</dcterms:created>
  <dcterms:modified xsi:type="dcterms:W3CDTF">2015-10-21T12:12:00Z</dcterms:modified>
</cp:coreProperties>
</file>