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03" w:rsidRPr="00800DEA" w:rsidRDefault="002C7A03" w:rsidP="00EB41CC">
      <w:pPr>
        <w:ind w:left="397" w:right="397"/>
        <w:jc w:val="center"/>
        <w:rPr>
          <w:rFonts w:ascii="Arial" w:hAnsi="Arial" w:cs="Arial"/>
          <w:b/>
        </w:rPr>
      </w:pPr>
      <w:r w:rsidRPr="00800DEA">
        <w:rPr>
          <w:rFonts w:ascii="Arial" w:hAnsi="Arial" w:cs="Arial"/>
          <w:b/>
          <w:noProof/>
          <w:lang w:val="en-ZA" w:eastAsia="en-ZA"/>
        </w:rPr>
        <w:drawing>
          <wp:inline distT="0" distB="0" distL="0" distR="0" wp14:anchorId="07DF8B0D" wp14:editId="25E62FB1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A03" w:rsidRPr="00800DEA" w:rsidRDefault="002C7A03" w:rsidP="00EB41CC">
      <w:pPr>
        <w:ind w:left="397" w:right="397"/>
        <w:jc w:val="center"/>
        <w:rPr>
          <w:rFonts w:ascii="Arial" w:hAnsi="Arial" w:cs="Arial"/>
          <w:b/>
        </w:rPr>
      </w:pPr>
    </w:p>
    <w:p w:rsidR="002C7A03" w:rsidRPr="00800DEA" w:rsidRDefault="002C7A03" w:rsidP="00EB41CC">
      <w:pPr>
        <w:ind w:left="397" w:right="397"/>
        <w:jc w:val="center"/>
        <w:rPr>
          <w:rFonts w:ascii="Arial" w:hAnsi="Arial" w:cs="Arial"/>
          <w:b/>
        </w:rPr>
      </w:pPr>
    </w:p>
    <w:p w:rsidR="002C7A03" w:rsidRPr="00800DEA" w:rsidRDefault="002C7A03" w:rsidP="00EB41CC">
      <w:pPr>
        <w:ind w:left="397" w:right="397"/>
        <w:jc w:val="center"/>
        <w:rPr>
          <w:rFonts w:ascii="Arial" w:hAnsi="Arial" w:cs="Arial"/>
          <w:b/>
        </w:rPr>
      </w:pPr>
    </w:p>
    <w:p w:rsidR="002C7A03" w:rsidRPr="00800DEA" w:rsidRDefault="00B76740" w:rsidP="00EB41CC">
      <w:pPr>
        <w:ind w:left="397" w:right="39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OUTCOME OF MEDIA24 AND NOVUS MERGER </w:t>
      </w:r>
      <w:r w:rsidR="00B32A6F">
        <w:rPr>
          <w:rFonts w:ascii="Arial" w:hAnsi="Arial" w:cs="Arial"/>
          <w:b/>
        </w:rPr>
        <w:t>WEDNESDAY, 2</w:t>
      </w:r>
      <w:r w:rsidR="002C7A03">
        <w:rPr>
          <w:rFonts w:ascii="Arial" w:hAnsi="Arial" w:cs="Arial"/>
          <w:b/>
        </w:rPr>
        <w:t xml:space="preserve"> AUGUST</w:t>
      </w:r>
      <w:r w:rsidR="002C7A03" w:rsidRPr="00800DEA">
        <w:rPr>
          <w:rFonts w:ascii="Arial" w:hAnsi="Arial" w:cs="Arial"/>
          <w:b/>
        </w:rPr>
        <w:t>, 2017</w:t>
      </w:r>
    </w:p>
    <w:p w:rsidR="002C7A03" w:rsidRPr="00800DEA" w:rsidRDefault="002C7A03" w:rsidP="00EB41CC">
      <w:pPr>
        <w:ind w:left="397" w:right="397"/>
        <w:jc w:val="both"/>
        <w:rPr>
          <w:rFonts w:ascii="Arial" w:hAnsi="Arial" w:cs="Arial"/>
          <w:b/>
        </w:rPr>
      </w:pPr>
    </w:p>
    <w:p w:rsidR="002C7A03" w:rsidRPr="00800DEA" w:rsidRDefault="002C7A03" w:rsidP="00EB41CC">
      <w:pPr>
        <w:ind w:left="397" w:right="397"/>
        <w:jc w:val="both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166"/>
        <w:tblW w:w="10278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2497"/>
        <w:gridCol w:w="2871"/>
        <w:gridCol w:w="2871"/>
      </w:tblGrid>
      <w:tr w:rsidR="00B76740" w:rsidRPr="00800DEA" w:rsidTr="00B76740">
        <w:trPr>
          <w:trHeight w:val="972"/>
        </w:trPr>
        <w:tc>
          <w:tcPr>
            <w:tcW w:w="2039" w:type="dxa"/>
            <w:shd w:val="clear" w:color="auto" w:fill="996633"/>
          </w:tcPr>
          <w:p w:rsidR="00B76740" w:rsidRPr="00800DEA" w:rsidRDefault="00B76740" w:rsidP="00B76740">
            <w:pPr>
              <w:ind w:left="397" w:right="397"/>
              <w:rPr>
                <w:rFonts w:ascii="Arial" w:hAnsi="Arial" w:cs="Arial"/>
                <w:color w:val="FFFFFF" w:themeColor="background1"/>
              </w:rPr>
            </w:pPr>
            <w:r w:rsidRPr="00800DEA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2497" w:type="dxa"/>
            <w:shd w:val="clear" w:color="auto" w:fill="996633"/>
          </w:tcPr>
          <w:p w:rsidR="00B76740" w:rsidRPr="00800DEA" w:rsidRDefault="00B76740" w:rsidP="00B76740">
            <w:pPr>
              <w:ind w:left="397" w:right="397"/>
              <w:rPr>
                <w:rFonts w:ascii="Arial" w:hAnsi="Arial" w:cs="Arial"/>
                <w:color w:val="FFFFFF" w:themeColor="background1"/>
              </w:rPr>
            </w:pPr>
            <w:r w:rsidRPr="00800DEA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1" w:type="dxa"/>
            <w:shd w:val="clear" w:color="auto" w:fill="996633"/>
          </w:tcPr>
          <w:p w:rsidR="00B76740" w:rsidRPr="00800DEA" w:rsidRDefault="00B76740" w:rsidP="00B76740">
            <w:pPr>
              <w:ind w:left="397" w:right="397"/>
              <w:rPr>
                <w:rFonts w:ascii="Arial" w:hAnsi="Arial" w:cs="Arial"/>
                <w:color w:val="FFFFFF" w:themeColor="background1"/>
              </w:rPr>
            </w:pPr>
            <w:r w:rsidRPr="00800DEA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  <w:tc>
          <w:tcPr>
            <w:tcW w:w="2871" w:type="dxa"/>
            <w:shd w:val="clear" w:color="auto" w:fill="996633"/>
          </w:tcPr>
          <w:p w:rsidR="00B76740" w:rsidRPr="00800DEA" w:rsidRDefault="00B76740" w:rsidP="00B76740">
            <w:pPr>
              <w:ind w:left="397" w:right="397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Tribunal decision </w:t>
            </w:r>
          </w:p>
        </w:tc>
      </w:tr>
      <w:tr w:rsidR="00B76740" w:rsidRPr="00800DEA" w:rsidTr="00B76740">
        <w:trPr>
          <w:trHeight w:val="556"/>
        </w:trPr>
        <w:tc>
          <w:tcPr>
            <w:tcW w:w="2039" w:type="dxa"/>
          </w:tcPr>
          <w:p w:rsidR="00B76740" w:rsidRPr="00800DEA" w:rsidRDefault="00B76740" w:rsidP="00B76740">
            <w:pPr>
              <w:ind w:left="397" w:right="397"/>
              <w:jc w:val="both"/>
              <w:rPr>
                <w:rFonts w:ascii="Arial" w:hAnsi="Arial" w:cs="Arial"/>
                <w:color w:val="000000"/>
              </w:rPr>
            </w:pPr>
            <w:r w:rsidRPr="00800DEA">
              <w:rPr>
                <w:rFonts w:ascii="Arial" w:hAnsi="Arial" w:cs="Arial"/>
                <w:color w:val="000000"/>
              </w:rPr>
              <w:t xml:space="preserve">Large merger </w:t>
            </w:r>
          </w:p>
        </w:tc>
        <w:tc>
          <w:tcPr>
            <w:tcW w:w="2497" w:type="dxa"/>
          </w:tcPr>
          <w:p w:rsidR="00B76740" w:rsidRPr="002C7A03" w:rsidRDefault="00B76740" w:rsidP="00B76740">
            <w:pPr>
              <w:ind w:left="397" w:right="397"/>
              <w:jc w:val="both"/>
              <w:rPr>
                <w:rFonts w:ascii="Arial" w:hAnsi="Arial" w:cs="Arial"/>
                <w:color w:val="000000"/>
              </w:rPr>
            </w:pPr>
            <w:r w:rsidRPr="002C7A03">
              <w:rPr>
                <w:rFonts w:ascii="Arial" w:hAnsi="Arial" w:cs="Arial"/>
                <w:color w:val="000000"/>
              </w:rPr>
              <w:t>Media24 (Pty) Ltd and Novus Holdings Ltd</w:t>
            </w:r>
          </w:p>
        </w:tc>
        <w:tc>
          <w:tcPr>
            <w:tcW w:w="2871" w:type="dxa"/>
          </w:tcPr>
          <w:p w:rsidR="00B76740" w:rsidRPr="00800DEA" w:rsidRDefault="00B76740" w:rsidP="00B76740">
            <w:pPr>
              <w:ind w:left="397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 with conditions</w:t>
            </w:r>
          </w:p>
        </w:tc>
        <w:tc>
          <w:tcPr>
            <w:tcW w:w="2871" w:type="dxa"/>
          </w:tcPr>
          <w:p w:rsidR="00B76740" w:rsidRDefault="00B76740" w:rsidP="00B76740">
            <w:pPr>
              <w:ind w:left="397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Approval with conditions </w:t>
            </w:r>
          </w:p>
        </w:tc>
      </w:tr>
    </w:tbl>
    <w:p w:rsidR="002C7A03" w:rsidRPr="00800DEA" w:rsidRDefault="002C7A03" w:rsidP="00EB41CC">
      <w:pPr>
        <w:ind w:left="397" w:right="397"/>
        <w:jc w:val="both"/>
        <w:rPr>
          <w:rFonts w:ascii="Arial" w:hAnsi="Arial" w:cs="Arial"/>
        </w:rPr>
      </w:pPr>
    </w:p>
    <w:p w:rsidR="002C7A03" w:rsidRPr="002C7A03" w:rsidRDefault="002C7A03" w:rsidP="00EB41CC">
      <w:pPr>
        <w:ind w:left="397" w:right="397"/>
        <w:rPr>
          <w:rFonts w:ascii="Arial" w:hAnsi="Arial" w:cs="Arial"/>
          <w:b/>
        </w:rPr>
      </w:pPr>
    </w:p>
    <w:p w:rsidR="002C7A03" w:rsidRDefault="002C7A03" w:rsidP="004E4E9A">
      <w:pPr>
        <w:ind w:left="340" w:right="340"/>
        <w:rPr>
          <w:rFonts w:ascii="Arial" w:hAnsi="Arial" w:cs="Arial"/>
          <w:b/>
        </w:rPr>
      </w:pPr>
      <w:r w:rsidRPr="002C7A03">
        <w:rPr>
          <w:rFonts w:ascii="Arial" w:hAnsi="Arial" w:cs="Arial"/>
          <w:b/>
        </w:rPr>
        <w:t xml:space="preserve">Merger of Media24 and Novus </w:t>
      </w:r>
      <w:r w:rsidR="00B76740">
        <w:rPr>
          <w:rFonts w:ascii="Arial" w:hAnsi="Arial" w:cs="Arial"/>
          <w:b/>
        </w:rPr>
        <w:t xml:space="preserve">approved subject to divestiture </w:t>
      </w:r>
    </w:p>
    <w:p w:rsidR="00EB41CC" w:rsidRPr="002C7A03" w:rsidRDefault="00EB41CC" w:rsidP="004E4E9A">
      <w:pPr>
        <w:ind w:left="340" w:right="340"/>
        <w:rPr>
          <w:rFonts w:ascii="Arial" w:hAnsi="Arial" w:cs="Arial"/>
          <w:b/>
        </w:rPr>
      </w:pPr>
    </w:p>
    <w:p w:rsidR="00EB41CC" w:rsidRPr="00562F20" w:rsidRDefault="00EB41CC" w:rsidP="004E4E9A">
      <w:pPr>
        <w:ind w:left="340" w:right="340"/>
        <w:rPr>
          <w:rFonts w:ascii="Arial" w:hAnsi="Arial" w:cs="Arial"/>
        </w:rPr>
      </w:pPr>
      <w:r w:rsidRPr="00562F20">
        <w:rPr>
          <w:rFonts w:ascii="Arial" w:hAnsi="Arial" w:cs="Arial"/>
        </w:rPr>
        <w:t xml:space="preserve">The Tribunal </w:t>
      </w:r>
      <w:r w:rsidR="00B76740" w:rsidRPr="00562F20">
        <w:rPr>
          <w:rFonts w:ascii="Arial" w:hAnsi="Arial" w:cs="Arial"/>
        </w:rPr>
        <w:t xml:space="preserve">has approved the </w:t>
      </w:r>
      <w:r w:rsidRPr="00562F20">
        <w:rPr>
          <w:rFonts w:ascii="Arial" w:hAnsi="Arial" w:cs="Arial"/>
        </w:rPr>
        <w:t xml:space="preserve">merger of print publication business Media24 (Pty) Ltd (Media24) and listed commercial printing operation Novus. </w:t>
      </w:r>
    </w:p>
    <w:p w:rsidR="00EB41CC" w:rsidRPr="00562F20" w:rsidRDefault="00EB41CC" w:rsidP="004E4E9A">
      <w:pPr>
        <w:ind w:left="340" w:right="340"/>
        <w:rPr>
          <w:rFonts w:ascii="Arial" w:hAnsi="Arial" w:cs="Arial"/>
        </w:rPr>
      </w:pPr>
    </w:p>
    <w:p w:rsidR="00EB41CC" w:rsidRPr="00562F20" w:rsidRDefault="00EB41CC" w:rsidP="004E4E9A">
      <w:pPr>
        <w:ind w:left="340" w:right="340"/>
        <w:rPr>
          <w:rFonts w:ascii="Arial" w:hAnsi="Arial" w:cs="Arial"/>
        </w:rPr>
      </w:pPr>
      <w:r w:rsidRPr="00562F20">
        <w:rPr>
          <w:rFonts w:ascii="Arial" w:hAnsi="Arial" w:cs="Arial"/>
        </w:rPr>
        <w:t xml:space="preserve">Novus controls a number of firms including Paarl </w:t>
      </w:r>
      <w:proofErr w:type="spellStart"/>
      <w:r w:rsidRPr="00562F20">
        <w:rPr>
          <w:rFonts w:ascii="Arial" w:hAnsi="Arial" w:cs="Arial"/>
        </w:rPr>
        <w:t>Coldset</w:t>
      </w:r>
      <w:proofErr w:type="spellEnd"/>
      <w:r w:rsidRPr="00562F20">
        <w:rPr>
          <w:rFonts w:ascii="Arial" w:hAnsi="Arial" w:cs="Arial"/>
        </w:rPr>
        <w:t xml:space="preserve"> and Paarl Media Holdings. Novus provides a range of printing services, in particular publication gravure, heat-set web offset, cold-set web offset, digital and label printing. </w:t>
      </w:r>
    </w:p>
    <w:p w:rsidR="00EB41CC" w:rsidRPr="00562F20" w:rsidRDefault="00EB41CC" w:rsidP="004E4E9A">
      <w:pPr>
        <w:ind w:left="340" w:right="340"/>
        <w:rPr>
          <w:rFonts w:ascii="Arial" w:hAnsi="Arial" w:cs="Arial"/>
        </w:rPr>
      </w:pPr>
    </w:p>
    <w:p w:rsidR="00EB41CC" w:rsidRPr="00562F20" w:rsidRDefault="00EB41CC" w:rsidP="004E4E9A">
      <w:pPr>
        <w:pStyle w:val="NormalWeb"/>
        <w:shd w:val="clear" w:color="auto" w:fill="FFFFFF"/>
        <w:spacing w:before="0" w:beforeAutospacing="0" w:after="300" w:afterAutospacing="0"/>
        <w:ind w:left="340" w:right="340"/>
        <w:rPr>
          <w:rFonts w:ascii="Arial" w:hAnsi="Arial" w:cs="Arial"/>
          <w:color w:val="000000"/>
          <w:sz w:val="22"/>
          <w:szCs w:val="22"/>
        </w:rPr>
      </w:pPr>
      <w:r w:rsidRPr="00562F20">
        <w:rPr>
          <w:rFonts w:ascii="Arial" w:hAnsi="Arial" w:cs="Arial"/>
          <w:color w:val="000000"/>
          <w:sz w:val="22"/>
          <w:szCs w:val="22"/>
        </w:rPr>
        <w:t xml:space="preserve">The </w:t>
      </w:r>
      <w:r w:rsidR="00B76740" w:rsidRPr="00562F20">
        <w:rPr>
          <w:rFonts w:ascii="Arial" w:hAnsi="Arial" w:cs="Arial"/>
          <w:color w:val="000000"/>
          <w:sz w:val="22"/>
          <w:szCs w:val="22"/>
        </w:rPr>
        <w:t>merger was approved</w:t>
      </w:r>
      <w:r w:rsidRPr="00562F20">
        <w:rPr>
          <w:rFonts w:ascii="Arial" w:hAnsi="Arial" w:cs="Arial"/>
          <w:color w:val="000000"/>
          <w:sz w:val="22"/>
          <w:szCs w:val="22"/>
        </w:rPr>
        <w:t xml:space="preserve"> on condition that Media24 divest itself of its majority stake in Novus.</w:t>
      </w:r>
    </w:p>
    <w:p w:rsidR="00EB41CC" w:rsidRDefault="00EB41CC" w:rsidP="004E4E9A">
      <w:pPr>
        <w:ind w:left="340" w:right="340"/>
        <w:rPr>
          <w:rFonts w:ascii="Arial" w:hAnsi="Arial" w:cs="Arial"/>
        </w:rPr>
      </w:pPr>
      <w:r w:rsidRPr="00562F20">
        <w:rPr>
          <w:rFonts w:ascii="Arial" w:hAnsi="Arial" w:cs="Arial"/>
        </w:rPr>
        <w:t xml:space="preserve">The effect of the divestiture is that Media24s shareholding in Novus would be transferred to Naspers’ various shareholders in the proportion of their Naspers shares. </w:t>
      </w:r>
    </w:p>
    <w:p w:rsidR="004E4E9A" w:rsidRDefault="004E4E9A" w:rsidP="004E4E9A">
      <w:pPr>
        <w:ind w:left="340" w:right="340"/>
        <w:rPr>
          <w:rFonts w:ascii="Arial" w:hAnsi="Arial" w:cs="Arial"/>
        </w:rPr>
      </w:pPr>
    </w:p>
    <w:p w:rsidR="004E4E9A" w:rsidRDefault="004E4E9A" w:rsidP="004E4E9A">
      <w:pPr>
        <w:ind w:left="340" w:right="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terms of the agreement </w:t>
      </w:r>
      <w:r w:rsidRPr="00562F20">
        <w:rPr>
          <w:rFonts w:ascii="Arial" w:hAnsi="Arial" w:cs="Arial"/>
        </w:rPr>
        <w:t xml:space="preserve">Media24 will implement the Divestment within 40 business </w:t>
      </w:r>
      <w:bookmarkStart w:id="0" w:name="_Ref446541159"/>
      <w:r w:rsidRPr="00562F20">
        <w:rPr>
          <w:rFonts w:ascii="Arial" w:hAnsi="Arial" w:cs="Arial"/>
        </w:rPr>
        <w:t>days</w:t>
      </w:r>
      <w:r>
        <w:rPr>
          <w:rFonts w:ascii="Arial" w:hAnsi="Arial" w:cs="Arial"/>
        </w:rPr>
        <w:t xml:space="preserve"> </w:t>
      </w:r>
      <w:r w:rsidRPr="00562F20">
        <w:rPr>
          <w:rFonts w:ascii="Arial" w:hAnsi="Arial" w:cs="Arial"/>
        </w:rPr>
        <w:t xml:space="preserve">through the distribution by Media24 of the Unbundled Shares to Naspers, by way of a distribution in the manner undertaken in the conditions. </w:t>
      </w:r>
      <w:bookmarkEnd w:id="0"/>
      <w:r w:rsidRPr="00562F20">
        <w:rPr>
          <w:rFonts w:ascii="Arial" w:hAnsi="Arial" w:cs="Arial"/>
        </w:rPr>
        <w:t xml:space="preserve"> In terms of the agreement Media24 will retain a maximum of 19% of the Novus Shares. </w:t>
      </w:r>
    </w:p>
    <w:p w:rsidR="004E4E9A" w:rsidRPr="00562F20" w:rsidRDefault="004E4E9A" w:rsidP="004E4E9A">
      <w:pPr>
        <w:ind w:left="340" w:right="340"/>
        <w:rPr>
          <w:rFonts w:ascii="Arial" w:hAnsi="Arial" w:cs="Arial"/>
        </w:rPr>
      </w:pPr>
    </w:p>
    <w:p w:rsidR="00B23D15" w:rsidRPr="00562F20" w:rsidRDefault="00B23D15" w:rsidP="004E4E9A">
      <w:pPr>
        <w:ind w:left="340" w:right="340"/>
        <w:rPr>
          <w:rFonts w:ascii="Arial" w:hAnsi="Arial" w:cs="Arial"/>
        </w:rPr>
      </w:pPr>
    </w:p>
    <w:p w:rsidR="00EB41CC" w:rsidRPr="00562F20" w:rsidRDefault="00EB41CC" w:rsidP="004E4E9A">
      <w:pPr>
        <w:pStyle w:val="NormalWeb"/>
        <w:shd w:val="clear" w:color="auto" w:fill="FFFFFF"/>
        <w:spacing w:before="0" w:beforeAutospacing="0" w:after="300" w:afterAutospacing="0"/>
        <w:ind w:left="340" w:right="340"/>
        <w:rPr>
          <w:rFonts w:ascii="Arial" w:hAnsi="Arial" w:cs="Arial"/>
          <w:color w:val="000000"/>
          <w:sz w:val="22"/>
          <w:szCs w:val="22"/>
        </w:rPr>
      </w:pPr>
      <w:r w:rsidRPr="00562F20">
        <w:rPr>
          <w:rFonts w:ascii="Arial" w:hAnsi="Arial" w:cs="Arial"/>
          <w:color w:val="000000"/>
          <w:sz w:val="22"/>
          <w:szCs w:val="22"/>
        </w:rPr>
        <w:t xml:space="preserve">The decision follows the successful appeal by Caxton and CTP </w:t>
      </w:r>
      <w:r w:rsidR="00562F20" w:rsidRPr="00562F20">
        <w:rPr>
          <w:rFonts w:ascii="Arial" w:hAnsi="Arial" w:cs="Arial"/>
          <w:color w:val="000000"/>
          <w:sz w:val="22"/>
          <w:szCs w:val="22"/>
        </w:rPr>
        <w:t xml:space="preserve">Publishers and Printers Limited </w:t>
      </w:r>
      <w:r w:rsidRPr="00562F20">
        <w:rPr>
          <w:rFonts w:ascii="Arial" w:hAnsi="Arial" w:cs="Arial"/>
          <w:color w:val="000000"/>
          <w:sz w:val="22"/>
          <w:szCs w:val="22"/>
        </w:rPr>
        <w:t xml:space="preserve">against the Novus listing in 2015. Caxton argued that the listing effectively gave Media24 sole control over Novus and therefore should have received approval from </w:t>
      </w:r>
      <w:r w:rsidR="00562F20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562F20">
        <w:rPr>
          <w:rFonts w:ascii="Arial" w:hAnsi="Arial" w:cs="Arial"/>
          <w:color w:val="000000"/>
          <w:sz w:val="22"/>
          <w:szCs w:val="22"/>
        </w:rPr>
        <w:t>competition authorities as a merger.</w:t>
      </w:r>
    </w:p>
    <w:p w:rsidR="00B23D15" w:rsidRPr="00562F20" w:rsidRDefault="00EB41CC" w:rsidP="004E4E9A">
      <w:pPr>
        <w:ind w:left="340" w:right="340"/>
        <w:jc w:val="both"/>
        <w:rPr>
          <w:rFonts w:ascii="Arial" w:hAnsi="Arial" w:cs="Arial"/>
          <w:color w:val="000000"/>
        </w:rPr>
      </w:pPr>
      <w:r w:rsidRPr="00562F20">
        <w:rPr>
          <w:rFonts w:ascii="Arial" w:hAnsi="Arial" w:cs="Arial"/>
          <w:color w:val="000000"/>
        </w:rPr>
        <w:t>The</w:t>
      </w:r>
      <w:r w:rsidR="00562F20">
        <w:rPr>
          <w:rFonts w:ascii="Arial" w:hAnsi="Arial" w:cs="Arial"/>
          <w:color w:val="000000"/>
        </w:rPr>
        <w:t xml:space="preserve"> Competition Tribunal initially </w:t>
      </w:r>
      <w:r w:rsidRPr="00562F20">
        <w:rPr>
          <w:rFonts w:ascii="Arial" w:hAnsi="Arial" w:cs="Arial"/>
          <w:color w:val="000000"/>
        </w:rPr>
        <w:t>dismissed the application but an appeal was upheld by the Competition Appeal Court. Under the ruling, Media24 had to notify the competition authorities of a change of control. This was filed with the Competition Commission in February 2016</w:t>
      </w:r>
      <w:r w:rsidR="00B23D15" w:rsidRPr="00562F20">
        <w:rPr>
          <w:rFonts w:ascii="Arial" w:hAnsi="Arial" w:cs="Arial"/>
          <w:color w:val="000000"/>
        </w:rPr>
        <w:t>.</w:t>
      </w:r>
    </w:p>
    <w:p w:rsidR="00B23D15" w:rsidRPr="00562F20" w:rsidRDefault="00B23D15" w:rsidP="004E4E9A">
      <w:pPr>
        <w:ind w:left="340" w:right="340"/>
        <w:jc w:val="both"/>
        <w:rPr>
          <w:rFonts w:ascii="Arial" w:hAnsi="Arial" w:cs="Arial"/>
          <w:color w:val="000000"/>
        </w:rPr>
      </w:pPr>
    </w:p>
    <w:p w:rsidR="004E4E9A" w:rsidRDefault="004E4E9A" w:rsidP="004E4E9A">
      <w:pPr>
        <w:ind w:left="340" w:right="340"/>
        <w:jc w:val="both"/>
        <w:rPr>
          <w:rFonts w:ascii="Arial" w:hAnsi="Arial" w:cs="Arial"/>
        </w:rPr>
      </w:pPr>
    </w:p>
    <w:p w:rsidR="002C7A03" w:rsidRPr="00562F20" w:rsidRDefault="002C7A03" w:rsidP="004E4E9A">
      <w:pPr>
        <w:ind w:left="340" w:right="340"/>
        <w:jc w:val="both"/>
        <w:rPr>
          <w:rFonts w:ascii="Arial" w:hAnsi="Arial" w:cs="Arial"/>
          <w:lang w:eastAsia="en-ZA"/>
        </w:rPr>
      </w:pPr>
      <w:r w:rsidRPr="00562F20">
        <w:rPr>
          <w:rFonts w:ascii="Arial" w:hAnsi="Arial" w:cs="Arial"/>
          <w:color w:val="000000"/>
          <w:lang w:eastAsia="en-ZA"/>
        </w:rPr>
        <w:t xml:space="preserve">Issued by: </w:t>
      </w:r>
    </w:p>
    <w:p w:rsidR="002C7A03" w:rsidRPr="00562F20" w:rsidRDefault="002C7A03" w:rsidP="004E4E9A">
      <w:pPr>
        <w:ind w:left="340" w:right="340"/>
        <w:jc w:val="both"/>
        <w:rPr>
          <w:rFonts w:ascii="Arial" w:hAnsi="Arial" w:cs="Arial"/>
          <w:color w:val="000000"/>
          <w:lang w:eastAsia="en-ZA"/>
        </w:rPr>
      </w:pPr>
      <w:r w:rsidRPr="00562F20"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2C7A03" w:rsidRPr="00562F20" w:rsidRDefault="002C7A03" w:rsidP="004E4E9A">
      <w:pPr>
        <w:ind w:left="340" w:right="340"/>
        <w:jc w:val="both"/>
        <w:rPr>
          <w:rFonts w:ascii="Arial" w:hAnsi="Arial" w:cs="Arial"/>
          <w:color w:val="000000"/>
          <w:lang w:eastAsia="en-ZA"/>
        </w:rPr>
      </w:pPr>
      <w:r w:rsidRPr="00562F20">
        <w:rPr>
          <w:rFonts w:ascii="Arial" w:hAnsi="Arial" w:cs="Arial"/>
          <w:color w:val="000000"/>
          <w:lang w:eastAsia="en-ZA"/>
        </w:rPr>
        <w:t>Communications: Competition Tribunal   </w:t>
      </w:r>
    </w:p>
    <w:p w:rsidR="002C7A03" w:rsidRPr="00562F20" w:rsidRDefault="002C7A03" w:rsidP="004E4E9A">
      <w:pPr>
        <w:ind w:left="340" w:right="340"/>
        <w:jc w:val="both"/>
        <w:rPr>
          <w:rFonts w:ascii="Arial" w:hAnsi="Arial" w:cs="Arial"/>
          <w:color w:val="000000"/>
          <w:lang w:eastAsia="en-ZA"/>
        </w:rPr>
      </w:pPr>
      <w:r w:rsidRPr="00562F20"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2C7A03" w:rsidRPr="00562F20" w:rsidRDefault="002C7A03" w:rsidP="004E4E9A">
      <w:pPr>
        <w:ind w:left="340" w:right="340"/>
        <w:jc w:val="both"/>
        <w:rPr>
          <w:rFonts w:ascii="Arial" w:hAnsi="Arial" w:cs="Arial"/>
          <w:color w:val="000000"/>
          <w:lang w:eastAsia="en-ZA"/>
        </w:rPr>
      </w:pPr>
      <w:r w:rsidRPr="00562F20">
        <w:rPr>
          <w:rFonts w:ascii="Arial" w:hAnsi="Arial" w:cs="Arial"/>
          <w:color w:val="000000"/>
          <w:lang w:eastAsia="en-ZA"/>
        </w:rPr>
        <w:t>Cell: +27 (0) 73 007 5603  </w:t>
      </w:r>
    </w:p>
    <w:p w:rsidR="002C7A03" w:rsidRPr="00562F20" w:rsidRDefault="002C7A03" w:rsidP="004E4E9A">
      <w:pPr>
        <w:ind w:left="340" w:right="340"/>
        <w:jc w:val="both"/>
        <w:rPr>
          <w:rFonts w:ascii="Arial" w:hAnsi="Arial" w:cs="Arial"/>
          <w:lang w:eastAsia="en-ZA"/>
        </w:rPr>
      </w:pPr>
      <w:r w:rsidRPr="00562F20">
        <w:rPr>
          <w:rFonts w:ascii="Arial" w:hAnsi="Arial"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:rsidR="002C7A03" w:rsidRPr="00562F20" w:rsidRDefault="002C7A03" w:rsidP="004E4E9A">
      <w:pPr>
        <w:ind w:left="340" w:right="340"/>
        <w:jc w:val="both"/>
        <w:rPr>
          <w:rFonts w:ascii="Arial" w:hAnsi="Arial" w:cs="Arial"/>
        </w:rPr>
      </w:pPr>
      <w:r w:rsidRPr="00562F20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562F20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562F20">
        <w:rPr>
          <w:rFonts w:ascii="Arial" w:hAnsi="Arial" w:cs="Arial"/>
        </w:rPr>
        <w:t xml:space="preserve"> </w:t>
      </w:r>
    </w:p>
    <w:p w:rsidR="002C7A03" w:rsidRPr="00562F20" w:rsidRDefault="002C7A03" w:rsidP="004E4E9A">
      <w:pPr>
        <w:ind w:left="340" w:right="340"/>
        <w:jc w:val="both"/>
        <w:rPr>
          <w:rFonts w:ascii="Arial" w:hAnsi="Arial" w:cs="Arial"/>
          <w:color w:val="000000"/>
        </w:rPr>
      </w:pPr>
    </w:p>
    <w:p w:rsidR="002C7A03" w:rsidRPr="00562F20" w:rsidRDefault="002C7A03" w:rsidP="004E4E9A">
      <w:pPr>
        <w:ind w:left="340" w:right="340"/>
        <w:jc w:val="both"/>
        <w:rPr>
          <w:rFonts w:ascii="Arial" w:hAnsi="Arial" w:cs="Arial"/>
          <w:color w:val="000000"/>
        </w:rPr>
      </w:pPr>
    </w:p>
    <w:p w:rsidR="002C7A03" w:rsidRPr="00562F20" w:rsidRDefault="002C7A03" w:rsidP="004E4E9A">
      <w:pPr>
        <w:ind w:left="340" w:right="340"/>
        <w:jc w:val="both"/>
        <w:rPr>
          <w:rFonts w:ascii="Arial" w:hAnsi="Arial" w:cs="Arial"/>
          <w:lang w:eastAsia="en-ZA"/>
        </w:rPr>
      </w:pPr>
      <w:r w:rsidRPr="00562F20">
        <w:rPr>
          <w:rFonts w:ascii="Arial" w:hAnsi="Arial" w:cs="Arial"/>
          <w:color w:val="000000"/>
          <w:lang w:eastAsia="en-ZA"/>
        </w:rPr>
        <w:t>On Behalf Of:</w:t>
      </w:r>
    </w:p>
    <w:p w:rsidR="002C7A03" w:rsidRPr="00562F20" w:rsidRDefault="002C7A03" w:rsidP="004E4E9A">
      <w:pPr>
        <w:ind w:left="340" w:right="340"/>
        <w:jc w:val="both"/>
        <w:rPr>
          <w:rFonts w:ascii="Arial" w:hAnsi="Arial" w:cs="Arial"/>
          <w:lang w:eastAsia="en-ZA"/>
        </w:rPr>
      </w:pPr>
      <w:r w:rsidRPr="00562F20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2C7A03" w:rsidRPr="00562F20" w:rsidRDefault="002C7A03" w:rsidP="004E4E9A">
      <w:pPr>
        <w:ind w:left="340" w:right="340"/>
        <w:jc w:val="both"/>
        <w:rPr>
          <w:rFonts w:ascii="Arial" w:hAnsi="Arial" w:cs="Arial"/>
          <w:lang w:eastAsia="en-ZA"/>
        </w:rPr>
      </w:pPr>
      <w:r w:rsidRPr="00562F20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2C7A03" w:rsidRPr="00562F20" w:rsidRDefault="002C7A03" w:rsidP="004E4E9A">
      <w:pPr>
        <w:ind w:left="340" w:right="340"/>
        <w:jc w:val="both"/>
        <w:rPr>
          <w:rFonts w:ascii="Arial" w:hAnsi="Arial" w:cs="Arial"/>
          <w:lang w:eastAsia="en-ZA"/>
        </w:rPr>
      </w:pPr>
      <w:r w:rsidRPr="00562F20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2C7A03" w:rsidRPr="00562F20" w:rsidRDefault="002C7A03" w:rsidP="004E4E9A">
      <w:pPr>
        <w:ind w:left="340" w:right="340"/>
        <w:jc w:val="both"/>
        <w:rPr>
          <w:rFonts w:ascii="Arial" w:hAnsi="Arial" w:cs="Arial"/>
          <w:lang w:eastAsia="en-ZA"/>
        </w:rPr>
      </w:pPr>
      <w:r w:rsidRPr="00562F20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2C7A03" w:rsidRPr="00562F20" w:rsidRDefault="002C7A03" w:rsidP="004E4E9A">
      <w:pPr>
        <w:ind w:left="340" w:right="340"/>
        <w:jc w:val="both"/>
        <w:rPr>
          <w:rFonts w:ascii="Arial" w:hAnsi="Arial" w:cs="Arial"/>
        </w:rPr>
      </w:pPr>
      <w:r w:rsidRPr="00562F20">
        <w:rPr>
          <w:rFonts w:ascii="Arial" w:hAnsi="Arial" w:cs="Arial"/>
          <w:color w:val="000000"/>
          <w:lang w:eastAsia="en-ZA"/>
        </w:rPr>
        <w:t xml:space="preserve">E-Mail: </w:t>
      </w:r>
      <w:hyperlink r:id="rId7" w:history="1">
        <w:r w:rsidRPr="00562F20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2C7A03" w:rsidRDefault="002C7A03" w:rsidP="004E4E9A">
      <w:pPr>
        <w:ind w:left="340" w:right="340"/>
      </w:pPr>
    </w:p>
    <w:p w:rsidR="00C35EB2" w:rsidRDefault="00D66745" w:rsidP="004E4E9A">
      <w:pPr>
        <w:ind w:left="340" w:right="340"/>
      </w:pPr>
    </w:p>
    <w:sectPr w:rsidR="00C35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43C46"/>
    <w:multiLevelType w:val="multilevel"/>
    <w:tmpl w:val="8188AD9A"/>
    <w:lvl w:ilvl="0">
      <w:start w:val="1"/>
      <w:numFmt w:val="decimal"/>
      <w:pStyle w:val="WerksmansStyle1"/>
      <w:lvlText w:val="%1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pStyle w:val="WerksmansStyle2"/>
      <w:lvlText w:val="%1.%2"/>
      <w:lvlJc w:val="left"/>
      <w:pPr>
        <w:tabs>
          <w:tab w:val="num" w:pos="1021"/>
        </w:tabs>
        <w:ind w:left="1021" w:hanging="1021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pStyle w:val="WerksmansStyle3"/>
      <w:lvlText w:val="%1.%2.%3"/>
      <w:lvlJc w:val="left"/>
      <w:pPr>
        <w:tabs>
          <w:tab w:val="num" w:pos="1531"/>
        </w:tabs>
        <w:ind w:left="1531" w:hanging="1531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pStyle w:val="WerksmansStyle4"/>
      <w:lvlText w:val="%1.%2.%3.%4"/>
      <w:lvlJc w:val="left"/>
      <w:pPr>
        <w:tabs>
          <w:tab w:val="num" w:pos="2041"/>
        </w:tabs>
        <w:ind w:left="2041" w:hanging="2041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"/>
      <w:numFmt w:val="decimal"/>
      <w:pStyle w:val="WerksmansStyle5"/>
      <w:lvlText w:val="%1.%2.%3.%4.%5"/>
      <w:lvlJc w:val="left"/>
      <w:pPr>
        <w:tabs>
          <w:tab w:val="num" w:pos="2552"/>
        </w:tabs>
        <w:ind w:left="2552" w:hanging="2552"/>
      </w:pPr>
      <w:rPr>
        <w:rFonts w:ascii="Verdana" w:hAnsi="Verdana" w:hint="default"/>
        <w:b w:val="0"/>
        <w:i w:val="0"/>
        <w:sz w:val="20"/>
      </w:rPr>
    </w:lvl>
    <w:lvl w:ilvl="5">
      <w:start w:val="1"/>
      <w:numFmt w:val="decimal"/>
      <w:pStyle w:val="WerksmansStyle6"/>
      <w:lvlText w:val="%1.%2.%3.%4.%5.%6"/>
      <w:lvlJc w:val="left"/>
      <w:pPr>
        <w:tabs>
          <w:tab w:val="num" w:pos="3062"/>
        </w:tabs>
        <w:ind w:left="3062" w:hanging="3062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decimal"/>
      <w:pStyle w:val="WerksmansStyle7"/>
      <w:lvlText w:val="%1.%2.%3.%4.%5.%6.%7"/>
      <w:lvlJc w:val="left"/>
      <w:pPr>
        <w:tabs>
          <w:tab w:val="num" w:pos="3572"/>
        </w:tabs>
        <w:ind w:left="3572" w:hanging="3572"/>
      </w:pPr>
      <w:rPr>
        <w:rFonts w:ascii="Verdana" w:hAnsi="Verdana" w:hint="default"/>
        <w:b w:val="0"/>
        <w:i w:val="0"/>
        <w:sz w:val="20"/>
      </w:rPr>
    </w:lvl>
    <w:lvl w:ilvl="7">
      <w:start w:val="1"/>
      <w:numFmt w:val="decimal"/>
      <w:pStyle w:val="WerksmansStyle8"/>
      <w:lvlText w:val="%1.%2.%3.%4.%5.%6.%7.%8"/>
      <w:lvlJc w:val="left"/>
      <w:pPr>
        <w:tabs>
          <w:tab w:val="num" w:pos="4082"/>
        </w:tabs>
        <w:ind w:left="4082" w:hanging="4082"/>
      </w:pPr>
      <w:rPr>
        <w:rFonts w:ascii="Verdana" w:hAnsi="Verdana" w:hint="default"/>
        <w:b w:val="0"/>
        <w:i w:val="0"/>
        <w:sz w:val="20"/>
      </w:rPr>
    </w:lvl>
    <w:lvl w:ilvl="8">
      <w:start w:val="1"/>
      <w:numFmt w:val="decimal"/>
      <w:pStyle w:val="WerksmansStyle9"/>
      <w:lvlText w:val="%1.%2.%3.%4.%5.%6.%7.%8.%9"/>
      <w:lvlJc w:val="left"/>
      <w:pPr>
        <w:tabs>
          <w:tab w:val="num" w:pos="4593"/>
        </w:tabs>
        <w:ind w:left="4593" w:hanging="4593"/>
      </w:pPr>
      <w:rPr>
        <w:rFonts w:ascii="Verdana" w:hAnsi="Verdana" w:hint="default"/>
        <w:b w:val="0"/>
        <w:i w:val="0"/>
        <w:sz w:val="20"/>
      </w:rPr>
    </w:lvl>
  </w:abstractNum>
  <w:abstractNum w:abstractNumId="1">
    <w:nsid w:val="27522143"/>
    <w:multiLevelType w:val="hybridMultilevel"/>
    <w:tmpl w:val="644AEB92"/>
    <w:lvl w:ilvl="0" w:tplc="1C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1" w:hanging="360"/>
      </w:pPr>
    </w:lvl>
    <w:lvl w:ilvl="2" w:tplc="1C09001B" w:tentative="1">
      <w:start w:val="1"/>
      <w:numFmt w:val="lowerRoman"/>
      <w:lvlText w:val="%3."/>
      <w:lvlJc w:val="right"/>
      <w:pPr>
        <w:ind w:left="1941" w:hanging="180"/>
      </w:pPr>
    </w:lvl>
    <w:lvl w:ilvl="3" w:tplc="1C09000F" w:tentative="1">
      <w:start w:val="1"/>
      <w:numFmt w:val="decimal"/>
      <w:lvlText w:val="%4."/>
      <w:lvlJc w:val="left"/>
      <w:pPr>
        <w:ind w:left="2661" w:hanging="360"/>
      </w:pPr>
    </w:lvl>
    <w:lvl w:ilvl="4" w:tplc="1C090019" w:tentative="1">
      <w:start w:val="1"/>
      <w:numFmt w:val="lowerLetter"/>
      <w:lvlText w:val="%5."/>
      <w:lvlJc w:val="left"/>
      <w:pPr>
        <w:ind w:left="3381" w:hanging="360"/>
      </w:pPr>
    </w:lvl>
    <w:lvl w:ilvl="5" w:tplc="1C09001B" w:tentative="1">
      <w:start w:val="1"/>
      <w:numFmt w:val="lowerRoman"/>
      <w:lvlText w:val="%6."/>
      <w:lvlJc w:val="right"/>
      <w:pPr>
        <w:ind w:left="4101" w:hanging="180"/>
      </w:pPr>
    </w:lvl>
    <w:lvl w:ilvl="6" w:tplc="1C09000F" w:tentative="1">
      <w:start w:val="1"/>
      <w:numFmt w:val="decimal"/>
      <w:lvlText w:val="%7."/>
      <w:lvlJc w:val="left"/>
      <w:pPr>
        <w:ind w:left="4821" w:hanging="360"/>
      </w:pPr>
    </w:lvl>
    <w:lvl w:ilvl="7" w:tplc="1C090019" w:tentative="1">
      <w:start w:val="1"/>
      <w:numFmt w:val="lowerLetter"/>
      <w:lvlText w:val="%8."/>
      <w:lvlJc w:val="left"/>
      <w:pPr>
        <w:ind w:left="5541" w:hanging="360"/>
      </w:pPr>
    </w:lvl>
    <w:lvl w:ilvl="8" w:tplc="1C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03"/>
    <w:rsid w:val="000264D1"/>
    <w:rsid w:val="002C7A03"/>
    <w:rsid w:val="003374B1"/>
    <w:rsid w:val="003C165A"/>
    <w:rsid w:val="00466CF2"/>
    <w:rsid w:val="00482491"/>
    <w:rsid w:val="004E4E9A"/>
    <w:rsid w:val="00562F20"/>
    <w:rsid w:val="00B23D15"/>
    <w:rsid w:val="00B32A6F"/>
    <w:rsid w:val="00B641C2"/>
    <w:rsid w:val="00B76740"/>
    <w:rsid w:val="00BA6FFA"/>
    <w:rsid w:val="00EB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92C76-21B9-4D13-8425-E90E1A68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A03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7A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7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styleId="ListParagraph">
    <w:name w:val="List Paragraph"/>
    <w:basedOn w:val="Normal"/>
    <w:uiPriority w:val="34"/>
    <w:qFormat/>
    <w:rsid w:val="00EB41CC"/>
    <w:pPr>
      <w:spacing w:after="200" w:line="276" w:lineRule="auto"/>
      <w:ind w:left="720"/>
      <w:contextualSpacing/>
    </w:pPr>
    <w:rPr>
      <w:rFonts w:asciiTheme="minorHAnsi" w:hAnsiTheme="minorHAnsi" w:cstheme="minorBidi"/>
      <w:lang w:val="en-ZA"/>
    </w:rPr>
  </w:style>
  <w:style w:type="paragraph" w:customStyle="1" w:styleId="WerksmansStyle2">
    <w:name w:val="Werksmans_Style2"/>
    <w:basedOn w:val="Normal"/>
    <w:next w:val="Normal"/>
    <w:rsid w:val="00B23D15"/>
    <w:pPr>
      <w:numPr>
        <w:ilvl w:val="1"/>
        <w:numId w:val="2"/>
      </w:numPr>
      <w:suppressAutoHyphens/>
      <w:spacing w:after="240" w:line="360" w:lineRule="auto"/>
      <w:jc w:val="both"/>
      <w:outlineLvl w:val="1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customStyle="1" w:styleId="WerksmansStyle3">
    <w:name w:val="Werksmans_Style3"/>
    <w:basedOn w:val="Normal"/>
    <w:next w:val="Normal"/>
    <w:rsid w:val="00B23D15"/>
    <w:pPr>
      <w:numPr>
        <w:ilvl w:val="2"/>
        <w:numId w:val="2"/>
      </w:numPr>
      <w:suppressAutoHyphens/>
      <w:spacing w:after="240" w:line="360" w:lineRule="auto"/>
      <w:jc w:val="both"/>
      <w:outlineLvl w:val="2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customStyle="1" w:styleId="WerksmansStyle4">
    <w:name w:val="Werksmans_Style4"/>
    <w:basedOn w:val="Normal"/>
    <w:next w:val="Normal"/>
    <w:rsid w:val="00B23D15"/>
    <w:pPr>
      <w:numPr>
        <w:ilvl w:val="3"/>
        <w:numId w:val="2"/>
      </w:numPr>
      <w:suppressAutoHyphens/>
      <w:spacing w:after="240" w:line="360" w:lineRule="auto"/>
      <w:jc w:val="both"/>
      <w:outlineLvl w:val="3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customStyle="1" w:styleId="WerksmansStyle5">
    <w:name w:val="Werksmans_Style5"/>
    <w:basedOn w:val="Normal"/>
    <w:next w:val="Normal"/>
    <w:rsid w:val="00B23D15"/>
    <w:pPr>
      <w:numPr>
        <w:ilvl w:val="4"/>
        <w:numId w:val="2"/>
      </w:numPr>
      <w:suppressAutoHyphens/>
      <w:spacing w:after="240" w:line="360" w:lineRule="auto"/>
      <w:jc w:val="both"/>
      <w:outlineLvl w:val="4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customStyle="1" w:styleId="WerksmansStyle6">
    <w:name w:val="Werksmans_Style6"/>
    <w:basedOn w:val="Normal"/>
    <w:next w:val="Normal"/>
    <w:rsid w:val="00B23D15"/>
    <w:pPr>
      <w:numPr>
        <w:ilvl w:val="5"/>
        <w:numId w:val="2"/>
      </w:numPr>
      <w:suppressAutoHyphens/>
      <w:spacing w:after="240" w:line="360" w:lineRule="auto"/>
      <w:jc w:val="both"/>
      <w:outlineLvl w:val="5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customStyle="1" w:styleId="WerksmansStyle7">
    <w:name w:val="Werksmans_Style7"/>
    <w:basedOn w:val="Normal"/>
    <w:next w:val="Normal"/>
    <w:rsid w:val="00B23D15"/>
    <w:pPr>
      <w:numPr>
        <w:ilvl w:val="6"/>
        <w:numId w:val="2"/>
      </w:numPr>
      <w:suppressAutoHyphens/>
      <w:spacing w:after="240" w:line="360" w:lineRule="auto"/>
      <w:jc w:val="both"/>
      <w:outlineLvl w:val="6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customStyle="1" w:styleId="WerksmansStyle8">
    <w:name w:val="Werksmans_Style8"/>
    <w:basedOn w:val="Normal"/>
    <w:next w:val="Normal"/>
    <w:rsid w:val="00B23D15"/>
    <w:pPr>
      <w:numPr>
        <w:ilvl w:val="7"/>
        <w:numId w:val="2"/>
      </w:numPr>
      <w:suppressAutoHyphens/>
      <w:spacing w:after="240" w:line="360" w:lineRule="auto"/>
      <w:jc w:val="both"/>
      <w:outlineLvl w:val="7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customStyle="1" w:styleId="WerksmansStyle9">
    <w:name w:val="Werksmans_Style9"/>
    <w:basedOn w:val="Normal"/>
    <w:next w:val="Normal"/>
    <w:rsid w:val="00B23D15"/>
    <w:pPr>
      <w:numPr>
        <w:ilvl w:val="8"/>
        <w:numId w:val="2"/>
      </w:numPr>
      <w:suppressAutoHyphens/>
      <w:spacing w:after="240" w:line="360" w:lineRule="auto"/>
      <w:jc w:val="both"/>
      <w:outlineLvl w:val="8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customStyle="1" w:styleId="WerksmansStyle1">
    <w:name w:val="Werksmans_Style1"/>
    <w:basedOn w:val="Normal"/>
    <w:next w:val="Normal"/>
    <w:rsid w:val="00B23D15"/>
    <w:pPr>
      <w:numPr>
        <w:numId w:val="2"/>
      </w:numPr>
      <w:suppressAutoHyphens/>
      <w:spacing w:after="240" w:line="360" w:lineRule="auto"/>
      <w:jc w:val="both"/>
      <w:outlineLvl w:val="0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customStyle="1" w:styleId="WerksmansPara2">
    <w:name w:val="Werksmans_Para2"/>
    <w:basedOn w:val="Normal"/>
    <w:next w:val="Normal"/>
    <w:rsid w:val="00B23D15"/>
    <w:pPr>
      <w:suppressAutoHyphens/>
      <w:spacing w:after="240" w:line="360" w:lineRule="auto"/>
      <w:ind w:left="1021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customStyle="1" w:styleId="WerksmansPara1">
    <w:name w:val="Werksmans_Para1"/>
    <w:basedOn w:val="Normal"/>
    <w:next w:val="Normal"/>
    <w:rsid w:val="00562F20"/>
    <w:pPr>
      <w:suppressAutoHyphens/>
      <w:spacing w:after="240" w:line="360" w:lineRule="auto"/>
      <w:ind w:left="510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listairV\AppData\Local\Microsoft\Windows\Temporary%20Internet%20Files\Content.Outlook\HMBET88G\chantelleb@comptrib.co.z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4</cp:revision>
  <dcterms:created xsi:type="dcterms:W3CDTF">2017-08-04T11:26:00Z</dcterms:created>
  <dcterms:modified xsi:type="dcterms:W3CDTF">2017-08-04T12:05:00Z</dcterms:modified>
</cp:coreProperties>
</file>