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A2" w:rsidRDefault="00D660A2" w:rsidP="00DC327B">
      <w:pPr>
        <w:ind w:left="720"/>
        <w:contextualSpacing/>
        <w:jc w:val="both"/>
        <w:rPr>
          <w:rFonts w:ascii="Arial" w:hAnsi="Arial" w:cs="Arial"/>
          <w:b/>
          <w:bCs/>
          <w:sz w:val="24"/>
          <w:szCs w:val="24"/>
          <w:lang w:val="en-ZA"/>
        </w:rPr>
      </w:pPr>
    </w:p>
    <w:p w:rsidR="00D660A2" w:rsidRPr="00D660A2" w:rsidRDefault="00D660A2" w:rsidP="00D660A2">
      <w:pPr>
        <w:jc w:val="center"/>
        <w:rPr>
          <w:rFonts w:ascii="Arial" w:hAnsi="Arial" w:cs="Arial"/>
          <w:b/>
          <w:lang w:val="en-ZA"/>
        </w:rPr>
      </w:pPr>
      <w:r w:rsidRPr="00D660A2">
        <w:rPr>
          <w:rFonts w:ascii="Arial" w:hAnsi="Arial" w:cs="Arial"/>
          <w:b/>
          <w:noProof/>
        </w:rPr>
        <w:drawing>
          <wp:inline distT="0" distB="0" distL="0" distR="0" wp14:anchorId="571E1821" wp14:editId="38908028">
            <wp:extent cx="1083945" cy="73342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_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431" cy="73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0A2" w:rsidRPr="00D660A2" w:rsidRDefault="00D660A2" w:rsidP="00D660A2">
      <w:pPr>
        <w:jc w:val="center"/>
        <w:rPr>
          <w:rFonts w:ascii="Arial" w:hAnsi="Arial" w:cs="Arial"/>
          <w:b/>
          <w:lang w:val="en-ZA"/>
        </w:rPr>
      </w:pPr>
    </w:p>
    <w:p w:rsidR="00D660A2" w:rsidRPr="00D660A2" w:rsidRDefault="00D660A2" w:rsidP="00D660A2">
      <w:pPr>
        <w:jc w:val="center"/>
        <w:rPr>
          <w:rFonts w:ascii="Arial" w:hAnsi="Arial" w:cs="Arial"/>
          <w:b/>
          <w:lang w:val="en-ZA"/>
        </w:rPr>
      </w:pPr>
    </w:p>
    <w:p w:rsidR="00D660A2" w:rsidRPr="00D660A2" w:rsidRDefault="00D660A2" w:rsidP="00D660A2">
      <w:pPr>
        <w:jc w:val="center"/>
        <w:rPr>
          <w:rFonts w:ascii="Arial" w:hAnsi="Arial" w:cs="Arial"/>
          <w:b/>
          <w:sz w:val="24"/>
          <w:szCs w:val="24"/>
          <w:lang w:val="en-ZA"/>
        </w:rPr>
      </w:pPr>
    </w:p>
    <w:p w:rsidR="00D660A2" w:rsidRPr="00D660A2" w:rsidRDefault="00A414E6" w:rsidP="00D660A2">
      <w:pPr>
        <w:jc w:val="center"/>
        <w:rPr>
          <w:rFonts w:ascii="Arial" w:hAnsi="Arial" w:cs="Arial"/>
          <w:b/>
          <w:sz w:val="24"/>
          <w:szCs w:val="24"/>
          <w:lang w:val="en-ZA"/>
        </w:rPr>
      </w:pPr>
      <w:r>
        <w:rPr>
          <w:rFonts w:ascii="Arial" w:hAnsi="Arial" w:cs="Arial"/>
          <w:b/>
          <w:sz w:val="24"/>
          <w:szCs w:val="24"/>
          <w:lang w:val="en-ZA"/>
        </w:rPr>
        <w:t>OUTCOME OF</w:t>
      </w:r>
      <w:r w:rsidR="00F14A64">
        <w:rPr>
          <w:rFonts w:ascii="Arial" w:hAnsi="Arial" w:cs="Arial"/>
          <w:b/>
          <w:sz w:val="24"/>
          <w:szCs w:val="24"/>
          <w:lang w:val="en-ZA"/>
        </w:rPr>
        <w:t xml:space="preserve"> CASE</w:t>
      </w:r>
      <w:r w:rsidR="00D660A2" w:rsidRPr="00D660A2">
        <w:rPr>
          <w:rFonts w:ascii="Arial" w:hAnsi="Arial" w:cs="Arial"/>
          <w:b/>
          <w:sz w:val="24"/>
          <w:szCs w:val="24"/>
          <w:lang w:val="en-ZA"/>
        </w:rPr>
        <w:t xml:space="preserve"> </w:t>
      </w:r>
      <w:r>
        <w:rPr>
          <w:rFonts w:ascii="Arial" w:hAnsi="Arial" w:cs="Arial"/>
          <w:b/>
          <w:sz w:val="24"/>
          <w:szCs w:val="24"/>
          <w:lang w:val="en-ZA"/>
        </w:rPr>
        <w:t xml:space="preserve">HEARD BY THE </w:t>
      </w:r>
      <w:r w:rsidR="00D660A2" w:rsidRPr="00D660A2">
        <w:rPr>
          <w:rFonts w:ascii="Arial" w:hAnsi="Arial" w:cs="Arial"/>
          <w:b/>
          <w:sz w:val="24"/>
          <w:szCs w:val="24"/>
          <w:lang w:val="en-ZA"/>
        </w:rPr>
        <w:t xml:space="preserve">TRIBUNAL </w:t>
      </w:r>
      <w:r>
        <w:rPr>
          <w:rFonts w:ascii="Arial" w:hAnsi="Arial" w:cs="Arial"/>
          <w:b/>
          <w:sz w:val="24"/>
          <w:szCs w:val="24"/>
          <w:lang w:val="en-ZA"/>
        </w:rPr>
        <w:t xml:space="preserve">ON </w:t>
      </w:r>
      <w:r w:rsidR="00D660A2" w:rsidRPr="00D660A2">
        <w:rPr>
          <w:rFonts w:ascii="Arial" w:hAnsi="Arial" w:cs="Arial"/>
          <w:b/>
          <w:sz w:val="24"/>
          <w:szCs w:val="24"/>
          <w:lang w:val="en-ZA"/>
        </w:rPr>
        <w:t xml:space="preserve">WEDNESDAY, </w:t>
      </w:r>
      <w:r w:rsidR="00D660A2" w:rsidRPr="00B15C68">
        <w:rPr>
          <w:rFonts w:ascii="Arial" w:hAnsi="Arial" w:cs="Arial"/>
          <w:b/>
          <w:sz w:val="24"/>
          <w:szCs w:val="24"/>
          <w:lang w:val="en-ZA"/>
        </w:rPr>
        <w:t xml:space="preserve">26 OCTOBER </w:t>
      </w:r>
      <w:r w:rsidR="00D660A2" w:rsidRPr="00D660A2">
        <w:rPr>
          <w:rFonts w:ascii="Arial" w:hAnsi="Arial" w:cs="Arial"/>
          <w:b/>
          <w:sz w:val="24"/>
          <w:szCs w:val="24"/>
          <w:lang w:val="en-ZA"/>
        </w:rPr>
        <w:t>2016</w:t>
      </w:r>
    </w:p>
    <w:p w:rsidR="00D660A2" w:rsidRPr="00D660A2" w:rsidRDefault="00D660A2" w:rsidP="00D660A2">
      <w:pPr>
        <w:jc w:val="both"/>
        <w:rPr>
          <w:rFonts w:ascii="Arial" w:hAnsi="Arial" w:cs="Arial"/>
          <w:b/>
          <w:lang w:val="en-ZA"/>
        </w:rPr>
      </w:pPr>
    </w:p>
    <w:p w:rsidR="00D660A2" w:rsidRPr="00D660A2" w:rsidRDefault="00D660A2" w:rsidP="00D660A2">
      <w:pPr>
        <w:jc w:val="both"/>
        <w:rPr>
          <w:rFonts w:ascii="Arial" w:hAnsi="Arial" w:cs="Arial"/>
          <w:b/>
          <w:lang w:val="en-ZA"/>
        </w:rPr>
      </w:pPr>
    </w:p>
    <w:p w:rsidR="00D660A2" w:rsidRPr="00D660A2" w:rsidRDefault="00D660A2" w:rsidP="00D660A2">
      <w:pPr>
        <w:jc w:val="both"/>
        <w:rPr>
          <w:rFonts w:ascii="Arial" w:hAnsi="Arial" w:cs="Arial"/>
          <w:lang w:val="en-ZA"/>
        </w:rPr>
      </w:pPr>
    </w:p>
    <w:tbl>
      <w:tblPr>
        <w:tblStyle w:val="TableGrid"/>
        <w:tblW w:w="9224" w:type="dxa"/>
        <w:tblBorders>
          <w:top w:val="single" w:sz="4" w:space="0" w:color="996633"/>
          <w:left w:val="single" w:sz="4" w:space="0" w:color="996633"/>
          <w:bottom w:val="single" w:sz="4" w:space="0" w:color="996633"/>
          <w:right w:val="single" w:sz="4" w:space="0" w:color="996633"/>
          <w:insideH w:val="single" w:sz="4" w:space="0" w:color="996633"/>
          <w:insideV w:val="single" w:sz="4" w:space="0" w:color="996633"/>
        </w:tblBorders>
        <w:tblLook w:val="04A0" w:firstRow="1" w:lastRow="0" w:firstColumn="1" w:lastColumn="0" w:noHBand="0" w:noVBand="1"/>
      </w:tblPr>
      <w:tblGrid>
        <w:gridCol w:w="3153"/>
        <w:gridCol w:w="3198"/>
        <w:gridCol w:w="2873"/>
      </w:tblGrid>
      <w:tr w:rsidR="00D660A2" w:rsidRPr="00D660A2" w:rsidTr="00610D04">
        <w:trPr>
          <w:trHeight w:val="972"/>
        </w:trPr>
        <w:tc>
          <w:tcPr>
            <w:tcW w:w="3153" w:type="dxa"/>
            <w:shd w:val="clear" w:color="auto" w:fill="996633"/>
          </w:tcPr>
          <w:p w:rsidR="00D660A2" w:rsidRPr="00D660A2" w:rsidRDefault="00D660A2" w:rsidP="00D660A2">
            <w:pPr>
              <w:rPr>
                <w:rFonts w:ascii="Arial" w:hAnsi="Arial" w:cs="Arial"/>
                <w:color w:val="FFFFFF" w:themeColor="background1"/>
              </w:rPr>
            </w:pPr>
            <w:r w:rsidRPr="00D660A2">
              <w:rPr>
                <w:rFonts w:ascii="Arial" w:hAnsi="Arial" w:cs="Arial"/>
                <w:color w:val="FFFFFF" w:themeColor="background1"/>
              </w:rPr>
              <w:t>Type of matter</w:t>
            </w:r>
          </w:p>
        </w:tc>
        <w:tc>
          <w:tcPr>
            <w:tcW w:w="3198" w:type="dxa"/>
            <w:shd w:val="clear" w:color="auto" w:fill="996633"/>
          </w:tcPr>
          <w:p w:rsidR="00D660A2" w:rsidRPr="00D660A2" w:rsidRDefault="00D660A2" w:rsidP="00D660A2">
            <w:pPr>
              <w:rPr>
                <w:rFonts w:ascii="Arial" w:hAnsi="Arial" w:cs="Arial"/>
                <w:color w:val="FFFFFF" w:themeColor="background1"/>
              </w:rPr>
            </w:pPr>
            <w:r w:rsidRPr="00D660A2">
              <w:rPr>
                <w:rFonts w:ascii="Arial" w:hAnsi="Arial" w:cs="Arial"/>
                <w:color w:val="FFFFFF" w:themeColor="background1"/>
              </w:rPr>
              <w:t>Parties involved</w:t>
            </w:r>
          </w:p>
        </w:tc>
        <w:tc>
          <w:tcPr>
            <w:tcW w:w="2873" w:type="dxa"/>
            <w:shd w:val="clear" w:color="auto" w:fill="996633"/>
          </w:tcPr>
          <w:p w:rsidR="00D660A2" w:rsidRPr="00D660A2" w:rsidRDefault="00D660A2" w:rsidP="00D660A2">
            <w:pPr>
              <w:rPr>
                <w:rFonts w:ascii="Arial" w:hAnsi="Arial" w:cs="Arial"/>
                <w:color w:val="FFFFFF" w:themeColor="background1"/>
              </w:rPr>
            </w:pPr>
            <w:r w:rsidRPr="00D660A2">
              <w:rPr>
                <w:rFonts w:ascii="Arial" w:hAnsi="Arial" w:cs="Arial"/>
                <w:color w:val="FFFFFF" w:themeColor="background1"/>
              </w:rPr>
              <w:t>Competition Commission’s recommendation to Tribunal</w:t>
            </w:r>
          </w:p>
        </w:tc>
      </w:tr>
      <w:tr w:rsidR="00D660A2" w:rsidRPr="00D660A2" w:rsidTr="00610D04">
        <w:trPr>
          <w:trHeight w:val="493"/>
        </w:trPr>
        <w:tc>
          <w:tcPr>
            <w:tcW w:w="3153" w:type="dxa"/>
          </w:tcPr>
          <w:p w:rsidR="00D660A2" w:rsidRPr="00D660A2" w:rsidRDefault="00D660A2" w:rsidP="00D660A2">
            <w:pPr>
              <w:jc w:val="both"/>
              <w:rPr>
                <w:rFonts w:ascii="Arial" w:hAnsi="Arial" w:cs="Arial"/>
              </w:rPr>
            </w:pPr>
            <w:r w:rsidRPr="00D660A2">
              <w:rPr>
                <w:rFonts w:ascii="Arial" w:hAnsi="Arial" w:cs="Arial"/>
              </w:rPr>
              <w:t>Large merger</w:t>
            </w:r>
          </w:p>
        </w:tc>
        <w:tc>
          <w:tcPr>
            <w:tcW w:w="3198" w:type="dxa"/>
          </w:tcPr>
          <w:p w:rsidR="00D660A2" w:rsidRPr="00D660A2" w:rsidRDefault="00D660A2" w:rsidP="00EA5D6C">
            <w:pPr>
              <w:jc w:val="both"/>
              <w:rPr>
                <w:rFonts w:ascii="Arial" w:hAnsi="Arial" w:cs="Arial"/>
              </w:rPr>
            </w:pPr>
            <w:r w:rsidRPr="00304269">
              <w:rPr>
                <w:rFonts w:ascii="Arial" w:hAnsi="Arial" w:cs="Arial"/>
                <w:color w:val="000000"/>
              </w:rPr>
              <w:t xml:space="preserve">RMB Holdings Limited And </w:t>
            </w:r>
            <w:r w:rsidR="00EA5D6C">
              <w:rPr>
                <w:rFonts w:ascii="Arial" w:hAnsi="Arial" w:cs="Arial"/>
                <w:color w:val="000000"/>
              </w:rPr>
              <w:t xml:space="preserve">Propertuity Development </w:t>
            </w:r>
            <w:r w:rsidRPr="00304269">
              <w:rPr>
                <w:rFonts w:ascii="Arial" w:hAnsi="Arial" w:cs="Arial"/>
                <w:color w:val="000000"/>
              </w:rPr>
              <w:t>(Pty) Ltd</w:t>
            </w:r>
          </w:p>
        </w:tc>
        <w:tc>
          <w:tcPr>
            <w:tcW w:w="2873" w:type="dxa"/>
          </w:tcPr>
          <w:p w:rsidR="00D660A2" w:rsidRPr="00D660A2" w:rsidRDefault="004C612C" w:rsidP="00D660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Approve without conditions </w:t>
            </w:r>
          </w:p>
        </w:tc>
      </w:tr>
    </w:tbl>
    <w:p w:rsidR="00D660A2" w:rsidRPr="00D660A2" w:rsidRDefault="00D660A2" w:rsidP="00D660A2">
      <w:pPr>
        <w:jc w:val="both"/>
        <w:rPr>
          <w:rFonts w:ascii="Arial" w:eastAsia="Calibri" w:hAnsi="Arial" w:cs="Arial"/>
          <w:b/>
          <w:lang w:val="en-ZA"/>
        </w:rPr>
      </w:pPr>
    </w:p>
    <w:p w:rsidR="00D660A2" w:rsidRPr="00D660A2" w:rsidRDefault="00D660A2" w:rsidP="00D660A2">
      <w:pPr>
        <w:jc w:val="both"/>
        <w:rPr>
          <w:rFonts w:ascii="Arial" w:hAnsi="Arial" w:cs="Arial"/>
          <w:lang w:val="en-ZA"/>
        </w:rPr>
      </w:pPr>
    </w:p>
    <w:p w:rsidR="00D660A2" w:rsidRDefault="00EA5D6C" w:rsidP="00D660A2">
      <w:pPr>
        <w:contextualSpacing/>
        <w:jc w:val="both"/>
        <w:rPr>
          <w:rFonts w:ascii="Arial" w:hAnsi="Arial" w:cs="Arial"/>
          <w:b/>
          <w:bCs/>
          <w:sz w:val="24"/>
          <w:szCs w:val="24"/>
          <w:lang w:val="en-ZA"/>
        </w:rPr>
      </w:pPr>
      <w:r>
        <w:rPr>
          <w:rFonts w:ascii="Arial" w:hAnsi="Arial" w:cs="Arial"/>
          <w:b/>
          <w:bCs/>
          <w:sz w:val="24"/>
          <w:szCs w:val="24"/>
          <w:lang w:val="en-ZA"/>
        </w:rPr>
        <w:t>RMH</w:t>
      </w:r>
      <w:r w:rsidR="00D660A2">
        <w:rPr>
          <w:rFonts w:ascii="Arial" w:hAnsi="Arial" w:cs="Arial"/>
          <w:b/>
          <w:bCs/>
          <w:sz w:val="24"/>
          <w:szCs w:val="24"/>
          <w:lang w:val="en-ZA"/>
        </w:rPr>
        <w:t xml:space="preserve"> and </w:t>
      </w:r>
      <w:proofErr w:type="spellStart"/>
      <w:r w:rsidR="00D660A2">
        <w:rPr>
          <w:rFonts w:ascii="Arial" w:hAnsi="Arial" w:cs="Arial"/>
          <w:b/>
          <w:bCs/>
          <w:sz w:val="24"/>
          <w:szCs w:val="24"/>
          <w:lang w:val="en-ZA"/>
        </w:rPr>
        <w:t>Propertuity</w:t>
      </w:r>
      <w:proofErr w:type="spellEnd"/>
      <w:r w:rsidR="00D660A2">
        <w:rPr>
          <w:rFonts w:ascii="Arial" w:hAnsi="Arial" w:cs="Arial"/>
          <w:b/>
          <w:bCs/>
          <w:sz w:val="24"/>
          <w:szCs w:val="24"/>
          <w:lang w:val="en-ZA"/>
        </w:rPr>
        <w:t xml:space="preserve"> Development </w:t>
      </w:r>
      <w:r w:rsidR="00A414E6">
        <w:rPr>
          <w:rFonts w:ascii="Arial" w:hAnsi="Arial" w:cs="Arial"/>
          <w:b/>
          <w:bCs/>
          <w:sz w:val="24"/>
          <w:szCs w:val="24"/>
          <w:lang w:val="en-ZA"/>
        </w:rPr>
        <w:t xml:space="preserve">merger </w:t>
      </w:r>
      <w:r w:rsidR="008D05F8">
        <w:rPr>
          <w:rFonts w:ascii="Arial" w:hAnsi="Arial" w:cs="Arial"/>
          <w:b/>
          <w:bCs/>
          <w:sz w:val="24"/>
          <w:szCs w:val="24"/>
          <w:lang w:val="en-ZA"/>
        </w:rPr>
        <w:t>approved</w:t>
      </w:r>
    </w:p>
    <w:p w:rsidR="008D05F8" w:rsidRDefault="008D05F8" w:rsidP="00D660A2">
      <w:pPr>
        <w:contextualSpacing/>
        <w:jc w:val="both"/>
        <w:rPr>
          <w:rFonts w:ascii="Arial" w:hAnsi="Arial" w:cs="Arial"/>
          <w:b/>
          <w:bCs/>
          <w:sz w:val="24"/>
          <w:szCs w:val="24"/>
          <w:lang w:val="en-ZA"/>
        </w:rPr>
      </w:pPr>
    </w:p>
    <w:p w:rsidR="00F14A64" w:rsidRDefault="00D660A2" w:rsidP="00D660A2">
      <w:pPr>
        <w:contextualSpacing/>
        <w:jc w:val="both"/>
        <w:rPr>
          <w:rFonts w:ascii="Arial" w:hAnsi="Arial" w:cs="Arial"/>
          <w:sz w:val="24"/>
          <w:szCs w:val="24"/>
          <w:lang w:val="en-ZA"/>
        </w:rPr>
      </w:pPr>
      <w:r w:rsidRPr="00D660A2">
        <w:rPr>
          <w:rFonts w:ascii="Arial" w:hAnsi="Arial" w:cs="Arial"/>
          <w:bCs/>
          <w:sz w:val="24"/>
          <w:szCs w:val="24"/>
          <w:lang w:val="en-ZA"/>
        </w:rPr>
        <w:t xml:space="preserve">The Competition Tribunal </w:t>
      </w:r>
      <w:proofErr w:type="gramStart"/>
      <w:r w:rsidR="00A414E6">
        <w:rPr>
          <w:rFonts w:ascii="Arial" w:hAnsi="Arial" w:cs="Arial"/>
          <w:bCs/>
          <w:sz w:val="24"/>
          <w:szCs w:val="24"/>
          <w:lang w:val="en-ZA"/>
        </w:rPr>
        <w:t xml:space="preserve">has </w:t>
      </w:r>
      <w:r w:rsidR="00F14A64">
        <w:rPr>
          <w:rFonts w:ascii="Arial" w:hAnsi="Arial" w:cs="Arial"/>
          <w:bCs/>
          <w:sz w:val="24"/>
          <w:szCs w:val="24"/>
          <w:lang w:val="en-ZA"/>
        </w:rPr>
        <w:t xml:space="preserve"> approved</w:t>
      </w:r>
      <w:proofErr w:type="gramEnd"/>
      <w:r w:rsidR="00F14A64">
        <w:rPr>
          <w:rFonts w:ascii="Arial" w:hAnsi="Arial" w:cs="Arial"/>
          <w:bCs/>
          <w:sz w:val="24"/>
          <w:szCs w:val="24"/>
          <w:lang w:val="en-ZA"/>
        </w:rPr>
        <w:t xml:space="preserve"> without conditions </w:t>
      </w:r>
      <w:r w:rsidR="00A414E6">
        <w:rPr>
          <w:rFonts w:ascii="Arial" w:hAnsi="Arial" w:cs="Arial"/>
          <w:bCs/>
          <w:sz w:val="24"/>
          <w:szCs w:val="24"/>
          <w:lang w:val="en-ZA"/>
        </w:rPr>
        <w:t xml:space="preserve">merger </w:t>
      </w:r>
      <w:r w:rsidRPr="00D660A2">
        <w:rPr>
          <w:rFonts w:ascii="Arial" w:hAnsi="Arial" w:cs="Arial"/>
          <w:bCs/>
          <w:sz w:val="24"/>
          <w:szCs w:val="24"/>
          <w:lang w:val="en-ZA"/>
        </w:rPr>
        <w:t xml:space="preserve">between </w:t>
      </w:r>
      <w:r w:rsidRPr="00D660A2">
        <w:rPr>
          <w:rFonts w:ascii="Arial" w:hAnsi="Arial" w:cs="Arial"/>
          <w:sz w:val="24"/>
          <w:szCs w:val="24"/>
          <w:lang w:val="en-ZA"/>
        </w:rPr>
        <w:t>RMH and target company Propertuity, both focused investment companies</w:t>
      </w:r>
      <w:r w:rsidR="00F14A64">
        <w:rPr>
          <w:rFonts w:ascii="Arial" w:hAnsi="Arial" w:cs="Arial"/>
          <w:sz w:val="24"/>
          <w:szCs w:val="24"/>
          <w:lang w:val="en-ZA"/>
        </w:rPr>
        <w:t>.</w:t>
      </w:r>
    </w:p>
    <w:p w:rsidR="00F14A64" w:rsidRDefault="00F14A64" w:rsidP="00D660A2">
      <w:pPr>
        <w:contextualSpacing/>
        <w:jc w:val="both"/>
        <w:rPr>
          <w:rFonts w:ascii="Arial" w:hAnsi="Arial" w:cs="Arial"/>
          <w:sz w:val="24"/>
          <w:szCs w:val="24"/>
          <w:lang w:val="en-ZA"/>
        </w:rPr>
      </w:pPr>
    </w:p>
    <w:p w:rsidR="00D660A2" w:rsidRDefault="00D660A2" w:rsidP="00D660A2">
      <w:pPr>
        <w:contextualSpacing/>
        <w:jc w:val="both"/>
        <w:rPr>
          <w:rFonts w:ascii="Arial" w:hAnsi="Arial" w:cs="Arial"/>
          <w:sz w:val="24"/>
          <w:szCs w:val="24"/>
          <w:lang w:val="en-ZA"/>
        </w:rPr>
      </w:pPr>
      <w:r>
        <w:rPr>
          <w:rFonts w:ascii="Arial" w:hAnsi="Arial" w:cs="Arial"/>
          <w:sz w:val="24"/>
          <w:szCs w:val="24"/>
          <w:lang w:val="en-ZA"/>
        </w:rPr>
        <w:t>RMH has a controlling interest in Atterbury Property Holdings, which is a property investment and development firm with a portfolio of properties and developments spread across office, commercial, residential and retail segments.</w:t>
      </w:r>
    </w:p>
    <w:p w:rsidR="00D660A2" w:rsidRDefault="00D660A2" w:rsidP="00D660A2">
      <w:pPr>
        <w:contextualSpacing/>
        <w:jc w:val="both"/>
        <w:rPr>
          <w:rFonts w:ascii="Arial" w:hAnsi="Arial" w:cs="Arial"/>
          <w:sz w:val="24"/>
          <w:szCs w:val="24"/>
          <w:lang w:val="en-ZA"/>
        </w:rPr>
      </w:pPr>
    </w:p>
    <w:p w:rsidR="00D660A2" w:rsidRDefault="00D660A2" w:rsidP="00D660A2">
      <w:pPr>
        <w:spacing w:before="100" w:after="100"/>
        <w:jc w:val="both"/>
        <w:rPr>
          <w:rFonts w:ascii="Arial" w:hAnsi="Arial" w:cs="Arial"/>
          <w:sz w:val="24"/>
          <w:szCs w:val="24"/>
          <w:lang w:val="en-ZA"/>
        </w:rPr>
      </w:pPr>
      <w:r>
        <w:rPr>
          <w:rFonts w:ascii="Arial" w:hAnsi="Arial" w:cs="Arial"/>
          <w:sz w:val="24"/>
          <w:szCs w:val="24"/>
          <w:lang w:val="en-ZA"/>
        </w:rPr>
        <w:t xml:space="preserve">Propertuity is a property investment company with a focus on property development and regeneration in urban spaces. Propertuity holds interests in Johannesburg and Durban. These properties are located in the Gauteng and KwaZulu-Natal Provinces respectively. It has a portfolio of retail, residential, industrial, office, hotel, parking, </w:t>
      </w:r>
      <w:proofErr w:type="gramStart"/>
      <w:r>
        <w:rPr>
          <w:rFonts w:ascii="Arial" w:hAnsi="Arial" w:cs="Arial"/>
          <w:sz w:val="24"/>
          <w:szCs w:val="24"/>
          <w:lang w:val="en-ZA"/>
        </w:rPr>
        <w:t>storage</w:t>
      </w:r>
      <w:proofErr w:type="gramEnd"/>
      <w:r>
        <w:rPr>
          <w:rFonts w:ascii="Arial" w:hAnsi="Arial" w:cs="Arial"/>
          <w:sz w:val="24"/>
          <w:szCs w:val="24"/>
          <w:lang w:val="en-ZA"/>
        </w:rPr>
        <w:t xml:space="preserve"> </w:t>
      </w:r>
      <w:r w:rsidR="004C612C">
        <w:rPr>
          <w:rFonts w:ascii="Arial" w:hAnsi="Arial" w:cs="Arial"/>
          <w:sz w:val="24"/>
          <w:szCs w:val="24"/>
          <w:lang w:val="en-ZA"/>
        </w:rPr>
        <w:t xml:space="preserve">and </w:t>
      </w:r>
      <w:r>
        <w:rPr>
          <w:rFonts w:ascii="Arial" w:hAnsi="Arial" w:cs="Arial"/>
          <w:sz w:val="24"/>
          <w:szCs w:val="24"/>
          <w:lang w:val="en-ZA"/>
        </w:rPr>
        <w:t>studio properties.</w:t>
      </w:r>
    </w:p>
    <w:p w:rsidR="00A414E6" w:rsidRPr="00A414E6" w:rsidRDefault="00A414E6" w:rsidP="00D660A2">
      <w:pPr>
        <w:spacing w:before="100" w:after="100"/>
        <w:jc w:val="both"/>
        <w:rPr>
          <w:rFonts w:ascii="Arial" w:hAnsi="Arial" w:cs="Arial"/>
          <w:color w:val="000000"/>
          <w:sz w:val="24"/>
          <w:szCs w:val="24"/>
        </w:rPr>
      </w:pPr>
    </w:p>
    <w:p w:rsidR="00D660A2" w:rsidRPr="00D660A2" w:rsidRDefault="00D660A2" w:rsidP="00D660A2">
      <w:pPr>
        <w:jc w:val="both"/>
        <w:rPr>
          <w:rFonts w:ascii="Arial" w:hAnsi="Arial" w:cs="Arial"/>
          <w:sz w:val="24"/>
          <w:szCs w:val="24"/>
          <w:lang w:val="en-ZA" w:eastAsia="en-ZA"/>
        </w:rPr>
      </w:pPr>
      <w:r w:rsidRPr="00D660A2">
        <w:rPr>
          <w:rFonts w:ascii="Arial" w:hAnsi="Arial" w:cs="Arial"/>
          <w:color w:val="000000"/>
          <w:sz w:val="24"/>
          <w:szCs w:val="24"/>
          <w:lang w:val="en-ZA" w:eastAsia="en-ZA"/>
        </w:rPr>
        <w:t>Issued by:</w:t>
      </w:r>
    </w:p>
    <w:p w:rsidR="00D660A2" w:rsidRPr="00D660A2" w:rsidRDefault="00D660A2" w:rsidP="00D660A2">
      <w:pPr>
        <w:jc w:val="both"/>
        <w:rPr>
          <w:rFonts w:ascii="Arial" w:hAnsi="Arial" w:cs="Arial"/>
          <w:color w:val="000000"/>
          <w:sz w:val="24"/>
          <w:szCs w:val="24"/>
          <w:lang w:val="en-ZA" w:eastAsia="en-ZA"/>
        </w:rPr>
      </w:pPr>
      <w:r w:rsidRPr="00D660A2">
        <w:rPr>
          <w:rFonts w:ascii="Arial" w:hAnsi="Arial" w:cs="Arial"/>
          <w:color w:val="000000"/>
          <w:sz w:val="24"/>
          <w:szCs w:val="24"/>
          <w:lang w:val="en-ZA" w:eastAsia="en-ZA"/>
        </w:rPr>
        <w:t>Chantelle Benjamin</w:t>
      </w:r>
    </w:p>
    <w:p w:rsidR="00D660A2" w:rsidRPr="00D660A2" w:rsidRDefault="00D660A2" w:rsidP="00D660A2">
      <w:pPr>
        <w:jc w:val="both"/>
        <w:rPr>
          <w:rFonts w:ascii="Arial" w:hAnsi="Arial" w:cs="Arial"/>
          <w:color w:val="000000"/>
          <w:sz w:val="24"/>
          <w:szCs w:val="24"/>
          <w:lang w:val="en-ZA" w:eastAsia="en-ZA"/>
        </w:rPr>
      </w:pPr>
      <w:r w:rsidRPr="00D660A2">
        <w:rPr>
          <w:rFonts w:ascii="Arial" w:hAnsi="Arial" w:cs="Arial"/>
          <w:color w:val="000000"/>
          <w:sz w:val="24"/>
          <w:szCs w:val="24"/>
          <w:lang w:val="en-ZA" w:eastAsia="en-ZA"/>
        </w:rPr>
        <w:t>Communications: Competition Tribunal</w:t>
      </w:r>
    </w:p>
    <w:p w:rsidR="00D660A2" w:rsidRPr="00D660A2" w:rsidRDefault="00D660A2" w:rsidP="00D660A2">
      <w:pPr>
        <w:jc w:val="both"/>
        <w:rPr>
          <w:rFonts w:ascii="Arial" w:hAnsi="Arial" w:cs="Arial"/>
          <w:color w:val="000000"/>
          <w:sz w:val="24"/>
          <w:szCs w:val="24"/>
          <w:lang w:val="en-ZA" w:eastAsia="en-ZA"/>
        </w:rPr>
      </w:pPr>
      <w:r w:rsidRPr="00D660A2">
        <w:rPr>
          <w:rFonts w:ascii="Arial" w:hAnsi="Arial" w:cs="Arial"/>
          <w:color w:val="000000"/>
          <w:sz w:val="24"/>
          <w:szCs w:val="24"/>
          <w:lang w:val="en-ZA" w:eastAsia="en-ZA"/>
        </w:rPr>
        <w:t>Tel (012)394 1383</w:t>
      </w:r>
    </w:p>
    <w:p w:rsidR="00D660A2" w:rsidRPr="00D660A2" w:rsidRDefault="00D660A2" w:rsidP="00D660A2">
      <w:pPr>
        <w:jc w:val="both"/>
        <w:rPr>
          <w:rFonts w:ascii="Arial" w:hAnsi="Arial" w:cs="Arial"/>
          <w:color w:val="000000"/>
          <w:sz w:val="24"/>
          <w:szCs w:val="24"/>
          <w:lang w:val="en-ZA" w:eastAsia="en-ZA"/>
        </w:rPr>
      </w:pPr>
      <w:r w:rsidRPr="00D660A2">
        <w:rPr>
          <w:rFonts w:ascii="Arial" w:hAnsi="Arial" w:cs="Arial"/>
          <w:color w:val="000000"/>
          <w:sz w:val="24"/>
          <w:szCs w:val="24"/>
          <w:lang w:val="en-ZA" w:eastAsia="en-ZA"/>
        </w:rPr>
        <w:t>Cell: +27 (0) 73 007 5603</w:t>
      </w:r>
    </w:p>
    <w:p w:rsidR="00D660A2" w:rsidRPr="00D660A2" w:rsidRDefault="00D660A2" w:rsidP="00D660A2">
      <w:pPr>
        <w:jc w:val="both"/>
        <w:rPr>
          <w:rFonts w:ascii="Arial" w:hAnsi="Arial" w:cs="Arial"/>
          <w:sz w:val="24"/>
          <w:szCs w:val="24"/>
          <w:lang w:val="en-ZA" w:eastAsia="en-ZA"/>
        </w:rPr>
      </w:pPr>
      <w:r w:rsidRPr="00D660A2">
        <w:rPr>
          <w:rFonts w:ascii="Arial" w:hAnsi="Arial" w:cs="Arial"/>
          <w:color w:val="000000"/>
          <w:sz w:val="24"/>
          <w:szCs w:val="24"/>
          <w:lang w:val="en-ZA" w:eastAsia="en-ZA"/>
        </w:rPr>
        <w:t>Twitter: @comptrib</w:t>
      </w:r>
    </w:p>
    <w:p w:rsidR="00D660A2" w:rsidRPr="00D660A2" w:rsidRDefault="00D660A2" w:rsidP="00D660A2">
      <w:pPr>
        <w:jc w:val="both"/>
        <w:rPr>
          <w:rFonts w:ascii="Arial" w:hAnsi="Arial" w:cs="Arial"/>
          <w:sz w:val="24"/>
          <w:szCs w:val="24"/>
          <w:lang w:val="en-ZA"/>
        </w:rPr>
      </w:pPr>
      <w:r w:rsidRPr="00D660A2">
        <w:rPr>
          <w:rFonts w:ascii="Arial" w:hAnsi="Arial" w:cs="Arial"/>
          <w:color w:val="000000"/>
          <w:sz w:val="24"/>
          <w:szCs w:val="24"/>
          <w:lang w:val="en-ZA" w:eastAsia="en-ZA"/>
        </w:rPr>
        <w:t xml:space="preserve">E-Mail: </w:t>
      </w:r>
      <w:hyperlink r:id="rId5" w:history="1">
        <w:r w:rsidRPr="00B15C68">
          <w:rPr>
            <w:rFonts w:ascii="Arial" w:hAnsi="Arial" w:cs="Arial"/>
            <w:color w:val="0000FF"/>
            <w:sz w:val="24"/>
            <w:szCs w:val="24"/>
            <w:u w:val="single"/>
            <w:lang w:val="en-ZA" w:eastAsia="en-ZA"/>
          </w:rPr>
          <w:t>chantelleb@comptrib.co.za</w:t>
        </w:r>
      </w:hyperlink>
    </w:p>
    <w:p w:rsidR="00D660A2" w:rsidRPr="00D660A2" w:rsidRDefault="00D660A2" w:rsidP="00D660A2">
      <w:pPr>
        <w:jc w:val="both"/>
        <w:rPr>
          <w:rFonts w:ascii="Arial" w:hAnsi="Arial" w:cs="Arial"/>
          <w:color w:val="000000"/>
          <w:sz w:val="24"/>
          <w:szCs w:val="24"/>
          <w:lang w:val="en-ZA"/>
        </w:rPr>
      </w:pPr>
    </w:p>
    <w:p w:rsidR="00D660A2" w:rsidRPr="00D660A2" w:rsidRDefault="00D660A2" w:rsidP="00D660A2">
      <w:pPr>
        <w:jc w:val="both"/>
        <w:rPr>
          <w:rFonts w:ascii="Arial" w:hAnsi="Arial" w:cs="Arial"/>
          <w:color w:val="000000"/>
          <w:sz w:val="24"/>
          <w:szCs w:val="24"/>
          <w:lang w:val="en-ZA"/>
        </w:rPr>
      </w:pPr>
    </w:p>
    <w:p w:rsidR="00D660A2" w:rsidRPr="00D660A2" w:rsidRDefault="00D660A2" w:rsidP="00D660A2">
      <w:pPr>
        <w:jc w:val="both"/>
        <w:rPr>
          <w:rFonts w:ascii="Arial" w:hAnsi="Arial" w:cs="Arial"/>
          <w:sz w:val="24"/>
          <w:szCs w:val="24"/>
          <w:lang w:val="en-ZA" w:eastAsia="en-ZA"/>
        </w:rPr>
      </w:pPr>
      <w:r w:rsidRPr="00D660A2">
        <w:rPr>
          <w:rFonts w:ascii="Arial" w:hAnsi="Arial" w:cs="Arial"/>
          <w:color w:val="000000"/>
          <w:sz w:val="24"/>
          <w:szCs w:val="24"/>
          <w:lang w:val="en-ZA" w:eastAsia="en-ZA"/>
        </w:rPr>
        <w:t>On Behalf Of:</w:t>
      </w:r>
    </w:p>
    <w:p w:rsidR="00D660A2" w:rsidRPr="00D660A2" w:rsidRDefault="00D660A2" w:rsidP="00D660A2">
      <w:pPr>
        <w:jc w:val="both"/>
        <w:rPr>
          <w:rFonts w:ascii="Arial" w:hAnsi="Arial" w:cs="Arial"/>
          <w:sz w:val="24"/>
          <w:szCs w:val="24"/>
          <w:lang w:val="en-ZA" w:eastAsia="en-ZA"/>
        </w:rPr>
      </w:pPr>
      <w:r w:rsidRPr="00D660A2">
        <w:rPr>
          <w:rFonts w:ascii="Arial" w:hAnsi="Arial" w:cs="Arial"/>
          <w:color w:val="000000"/>
          <w:sz w:val="24"/>
          <w:szCs w:val="24"/>
          <w:lang w:val="en-ZA" w:eastAsia="en-ZA"/>
        </w:rPr>
        <w:t>Lerato Motaung</w:t>
      </w:r>
    </w:p>
    <w:p w:rsidR="00D660A2" w:rsidRPr="00D660A2" w:rsidRDefault="00D660A2" w:rsidP="00D660A2">
      <w:pPr>
        <w:jc w:val="both"/>
        <w:rPr>
          <w:rFonts w:ascii="Arial" w:hAnsi="Arial" w:cs="Arial"/>
          <w:sz w:val="24"/>
          <w:szCs w:val="24"/>
          <w:lang w:val="en-ZA" w:eastAsia="en-ZA"/>
        </w:rPr>
      </w:pPr>
      <w:r w:rsidRPr="00D660A2">
        <w:rPr>
          <w:rFonts w:ascii="Arial" w:hAnsi="Arial" w:cs="Arial"/>
          <w:color w:val="000000"/>
          <w:sz w:val="24"/>
          <w:szCs w:val="24"/>
          <w:lang w:val="en-ZA" w:eastAsia="en-ZA"/>
        </w:rPr>
        <w:t>Registrar: Competition Tribunal</w:t>
      </w:r>
    </w:p>
    <w:p w:rsidR="00D660A2" w:rsidRPr="00D660A2" w:rsidRDefault="00D660A2" w:rsidP="00D660A2">
      <w:pPr>
        <w:jc w:val="both"/>
        <w:rPr>
          <w:rFonts w:ascii="Arial" w:hAnsi="Arial" w:cs="Arial"/>
          <w:sz w:val="24"/>
          <w:szCs w:val="24"/>
          <w:lang w:val="en-ZA" w:eastAsia="en-ZA"/>
        </w:rPr>
      </w:pPr>
      <w:r w:rsidRPr="00D660A2">
        <w:rPr>
          <w:rFonts w:ascii="Arial" w:hAnsi="Arial" w:cs="Arial"/>
          <w:color w:val="000000"/>
          <w:sz w:val="24"/>
          <w:szCs w:val="24"/>
          <w:lang w:val="en-ZA" w:eastAsia="en-ZA"/>
        </w:rPr>
        <w:t>Tel: (012) 394 3355</w:t>
      </w:r>
    </w:p>
    <w:p w:rsidR="00D660A2" w:rsidRPr="00D660A2" w:rsidRDefault="00D660A2" w:rsidP="00D660A2">
      <w:pPr>
        <w:jc w:val="both"/>
        <w:rPr>
          <w:rFonts w:ascii="Arial" w:hAnsi="Arial" w:cs="Arial"/>
          <w:sz w:val="24"/>
          <w:szCs w:val="24"/>
          <w:lang w:val="en-ZA" w:eastAsia="en-ZA"/>
        </w:rPr>
      </w:pPr>
      <w:r w:rsidRPr="00D660A2">
        <w:rPr>
          <w:rFonts w:ascii="Arial" w:hAnsi="Arial" w:cs="Arial"/>
          <w:color w:val="000000"/>
          <w:sz w:val="24"/>
          <w:szCs w:val="24"/>
          <w:lang w:val="en-ZA" w:eastAsia="en-ZA"/>
        </w:rPr>
        <w:t>Cell: +27 (0) 82 556 3221</w:t>
      </w:r>
    </w:p>
    <w:p w:rsidR="00D660A2" w:rsidRPr="00D660A2" w:rsidRDefault="00D660A2" w:rsidP="00D660A2">
      <w:pPr>
        <w:jc w:val="both"/>
        <w:rPr>
          <w:rFonts w:ascii="Arial" w:hAnsi="Arial" w:cs="Arial"/>
          <w:sz w:val="24"/>
          <w:szCs w:val="24"/>
          <w:lang w:val="en-ZA"/>
        </w:rPr>
      </w:pPr>
      <w:r w:rsidRPr="00D660A2">
        <w:rPr>
          <w:rFonts w:ascii="Arial" w:hAnsi="Arial" w:cs="Arial"/>
          <w:color w:val="000000"/>
          <w:sz w:val="24"/>
          <w:szCs w:val="24"/>
          <w:lang w:val="en-ZA" w:eastAsia="en-ZA"/>
        </w:rPr>
        <w:t xml:space="preserve">E-Mail: </w:t>
      </w:r>
      <w:hyperlink r:id="rId6" w:history="1">
        <w:r w:rsidRPr="00B15C68">
          <w:rPr>
            <w:rFonts w:ascii="Arial" w:hAnsi="Arial" w:cs="Arial"/>
            <w:color w:val="0000FF"/>
            <w:sz w:val="24"/>
            <w:szCs w:val="24"/>
            <w:u w:val="single"/>
            <w:lang w:val="en-ZA" w:eastAsia="en-ZA"/>
          </w:rPr>
          <w:t>LeratoM@comptrib.co.za</w:t>
        </w:r>
      </w:hyperlink>
    </w:p>
    <w:p w:rsidR="003E6D12" w:rsidRDefault="00DF44FB"/>
    <w:sectPr w:rsidR="003E6D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7B"/>
    <w:rsid w:val="002A5A09"/>
    <w:rsid w:val="00304269"/>
    <w:rsid w:val="004755EC"/>
    <w:rsid w:val="004C612C"/>
    <w:rsid w:val="00514D9F"/>
    <w:rsid w:val="00683D3C"/>
    <w:rsid w:val="008D05F8"/>
    <w:rsid w:val="00950681"/>
    <w:rsid w:val="00A414E6"/>
    <w:rsid w:val="00B15C68"/>
    <w:rsid w:val="00BA09C7"/>
    <w:rsid w:val="00C72114"/>
    <w:rsid w:val="00D660A2"/>
    <w:rsid w:val="00DC327B"/>
    <w:rsid w:val="00EA5D6C"/>
    <w:rsid w:val="00F12605"/>
    <w:rsid w:val="00F1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96AF4DB-50DD-43A5-8EBE-800CF22F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7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60A2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ratoM@comptrib.co.za" TargetMode="External"/><Relationship Id="rId5" Type="http://schemas.openxmlformats.org/officeDocument/2006/relationships/hyperlink" Target="file:///C:\Users\AlistairV\AppData\Local\Microsoft\Windows\Temporary%20Internet%20Files\Content.Outlook\HMBET88G\chantelleb@comptrib.co.za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Benjamin</dc:creator>
  <cp:keywords/>
  <dc:description/>
  <cp:lastModifiedBy>Chantelle Benjamin</cp:lastModifiedBy>
  <cp:revision>4</cp:revision>
  <dcterms:created xsi:type="dcterms:W3CDTF">2016-10-27T06:09:00Z</dcterms:created>
  <dcterms:modified xsi:type="dcterms:W3CDTF">2016-10-27T06:11:00Z</dcterms:modified>
</cp:coreProperties>
</file>