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A9" w:rsidRDefault="003D0DA9" w:rsidP="003D0D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29C90D5D" wp14:editId="21126F25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A9" w:rsidRDefault="003D0DA9" w:rsidP="003D0DA9">
      <w:pPr>
        <w:spacing w:after="0" w:line="240" w:lineRule="auto"/>
        <w:jc w:val="center"/>
        <w:rPr>
          <w:rFonts w:ascii="Arial" w:hAnsi="Arial" w:cs="Arial"/>
          <w:b/>
        </w:rPr>
      </w:pPr>
    </w:p>
    <w:p w:rsidR="003D0DA9" w:rsidRDefault="003D0DA9" w:rsidP="003D0DA9">
      <w:pPr>
        <w:spacing w:after="0" w:line="240" w:lineRule="auto"/>
        <w:jc w:val="center"/>
        <w:rPr>
          <w:rFonts w:ascii="Arial" w:hAnsi="Arial" w:cs="Arial"/>
          <w:b/>
        </w:rPr>
      </w:pPr>
    </w:p>
    <w:p w:rsidR="003D0DA9" w:rsidRPr="00E41BF5" w:rsidRDefault="003D0DA9" w:rsidP="003D0DA9">
      <w:pPr>
        <w:spacing w:after="0" w:line="240" w:lineRule="auto"/>
        <w:jc w:val="center"/>
        <w:rPr>
          <w:rFonts w:ascii="Arial" w:hAnsi="Arial" w:cs="Arial"/>
          <w:b/>
        </w:rPr>
      </w:pPr>
    </w:p>
    <w:p w:rsidR="003D0DA9" w:rsidRPr="00E02933" w:rsidRDefault="004F4CD0" w:rsidP="003D0D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 OF HEARINGS</w:t>
      </w:r>
      <w:r w:rsidR="003D0DA9" w:rsidRPr="00E02933">
        <w:rPr>
          <w:rFonts w:ascii="Arial" w:hAnsi="Arial" w:cs="Arial"/>
          <w:b/>
        </w:rPr>
        <w:t xml:space="preserve"> </w:t>
      </w:r>
      <w:r w:rsidR="00DD40BB">
        <w:rPr>
          <w:rFonts w:ascii="Arial" w:hAnsi="Arial" w:cs="Arial"/>
          <w:b/>
        </w:rPr>
        <w:t xml:space="preserve">BEFORE THE </w:t>
      </w:r>
      <w:r w:rsidR="003D0DA9">
        <w:rPr>
          <w:rFonts w:ascii="Arial" w:hAnsi="Arial" w:cs="Arial"/>
          <w:b/>
        </w:rPr>
        <w:t xml:space="preserve">TRIBUNAL </w:t>
      </w:r>
      <w:r w:rsidR="00DD40BB">
        <w:rPr>
          <w:rFonts w:ascii="Arial" w:hAnsi="Arial" w:cs="Arial"/>
          <w:b/>
        </w:rPr>
        <w:t xml:space="preserve">ON </w:t>
      </w:r>
      <w:r w:rsidR="003D0DA9">
        <w:rPr>
          <w:rFonts w:ascii="Arial" w:hAnsi="Arial" w:cs="Arial"/>
          <w:b/>
        </w:rPr>
        <w:t xml:space="preserve">WEDNESDAY, 18 NOVEMBER 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</w:rPr>
      </w:pP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b/>
        </w:rPr>
      </w:pP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b/>
        </w:rPr>
      </w:pP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62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66"/>
        <w:gridCol w:w="3211"/>
        <w:gridCol w:w="2885"/>
      </w:tblGrid>
      <w:tr w:rsidR="003D0DA9" w:rsidRPr="00E02933" w:rsidTr="00D664C2">
        <w:trPr>
          <w:trHeight w:val="1047"/>
        </w:trPr>
        <w:tc>
          <w:tcPr>
            <w:tcW w:w="3166" w:type="dxa"/>
            <w:shd w:val="clear" w:color="auto" w:fill="996633"/>
          </w:tcPr>
          <w:p w:rsidR="003D0DA9" w:rsidRPr="00E02933" w:rsidRDefault="003D0DA9" w:rsidP="00D664C2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211" w:type="dxa"/>
            <w:shd w:val="clear" w:color="auto" w:fill="996633"/>
          </w:tcPr>
          <w:p w:rsidR="003D0DA9" w:rsidRPr="00E02933" w:rsidRDefault="003D0DA9" w:rsidP="00D664C2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85" w:type="dxa"/>
            <w:shd w:val="clear" w:color="auto" w:fill="996633"/>
          </w:tcPr>
          <w:p w:rsidR="003D0DA9" w:rsidRPr="00E02933" w:rsidRDefault="003D0DA9" w:rsidP="00D664C2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3D0DA9" w:rsidRPr="00E02933" w:rsidTr="00D664C2">
        <w:trPr>
          <w:trHeight w:val="531"/>
        </w:trPr>
        <w:tc>
          <w:tcPr>
            <w:tcW w:w="3166" w:type="dxa"/>
          </w:tcPr>
          <w:p w:rsidR="003D0DA9" w:rsidRPr="00E02933" w:rsidRDefault="003D0DA9" w:rsidP="00D664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3211" w:type="dxa"/>
          </w:tcPr>
          <w:p w:rsidR="003D0DA9" w:rsidRPr="00B12BDD" w:rsidRDefault="003D0DA9" w:rsidP="00D664C2">
            <w:pPr>
              <w:jc w:val="both"/>
              <w:rPr>
                <w:rFonts w:ascii="Arial" w:hAnsi="Arial" w:cs="Arial"/>
              </w:rPr>
            </w:pPr>
            <w:r w:rsidRPr="00B12BDD">
              <w:rPr>
                <w:rFonts w:ascii="Arial" w:hAnsi="Arial" w:cs="Arial"/>
              </w:rPr>
              <w:t xml:space="preserve">Competition Commission and Dura </w:t>
            </w:r>
            <w:proofErr w:type="spellStart"/>
            <w:r w:rsidRPr="00B12BDD">
              <w:rPr>
                <w:rFonts w:ascii="Arial" w:hAnsi="Arial" w:cs="Arial"/>
              </w:rPr>
              <w:t>Soltanche</w:t>
            </w:r>
            <w:proofErr w:type="spellEnd"/>
            <w:r w:rsidRPr="00B12BDD">
              <w:rPr>
                <w:rFonts w:ascii="Arial" w:hAnsi="Arial" w:cs="Arial"/>
              </w:rPr>
              <w:t xml:space="preserve"> </w:t>
            </w:r>
            <w:proofErr w:type="spellStart"/>
            <w:r w:rsidRPr="00B12BDD">
              <w:rPr>
                <w:rFonts w:ascii="Arial" w:hAnsi="Arial" w:cs="Arial"/>
              </w:rPr>
              <w:t>Bachy</w:t>
            </w:r>
            <w:proofErr w:type="spellEnd"/>
            <w:r w:rsidRPr="00B12BDD">
              <w:rPr>
                <w:rFonts w:ascii="Arial" w:hAnsi="Arial" w:cs="Arial"/>
              </w:rPr>
              <w:t xml:space="preserve"> (Pty) Ltd</w:t>
            </w:r>
          </w:p>
        </w:tc>
        <w:tc>
          <w:tcPr>
            <w:tcW w:w="2885" w:type="dxa"/>
          </w:tcPr>
          <w:p w:rsidR="003D0DA9" w:rsidRPr="00E02933" w:rsidRDefault="003D0DA9" w:rsidP="00D664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settlement agreement</w:t>
            </w:r>
          </w:p>
        </w:tc>
      </w:tr>
      <w:tr w:rsidR="003D0DA9" w:rsidRPr="00E02933" w:rsidTr="00D664C2">
        <w:trPr>
          <w:trHeight w:val="531"/>
        </w:trPr>
        <w:tc>
          <w:tcPr>
            <w:tcW w:w="3166" w:type="dxa"/>
          </w:tcPr>
          <w:p w:rsidR="003D0DA9" w:rsidRDefault="003D0DA9" w:rsidP="00D664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agreement </w:t>
            </w:r>
          </w:p>
        </w:tc>
        <w:tc>
          <w:tcPr>
            <w:tcW w:w="3211" w:type="dxa"/>
          </w:tcPr>
          <w:p w:rsidR="003D0DA9" w:rsidRPr="00B12BDD" w:rsidRDefault="003D0DA9" w:rsidP="00D664C2">
            <w:pPr>
              <w:jc w:val="both"/>
              <w:rPr>
                <w:rFonts w:ascii="Arial" w:hAnsi="Arial" w:cs="Arial"/>
              </w:rPr>
            </w:pPr>
            <w:r w:rsidRPr="00B12BDD">
              <w:rPr>
                <w:rFonts w:ascii="Arial" w:hAnsi="Arial" w:cs="Arial"/>
              </w:rPr>
              <w:t>Competition Commission and Basil Read Holdings Ltd</w:t>
            </w:r>
          </w:p>
        </w:tc>
        <w:tc>
          <w:tcPr>
            <w:tcW w:w="2885" w:type="dxa"/>
          </w:tcPr>
          <w:p w:rsidR="003D0DA9" w:rsidRPr="00E02933" w:rsidRDefault="003D0DA9" w:rsidP="00D664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conduct </w:t>
            </w:r>
          </w:p>
        </w:tc>
      </w:tr>
      <w:tr w:rsidR="003D0DA9" w:rsidRPr="00E02933" w:rsidTr="00D664C2">
        <w:trPr>
          <w:trHeight w:val="782"/>
        </w:trPr>
        <w:tc>
          <w:tcPr>
            <w:tcW w:w="3166" w:type="dxa"/>
          </w:tcPr>
          <w:p w:rsidR="003D0DA9" w:rsidRPr="00E02933" w:rsidRDefault="003D0DA9" w:rsidP="00D664C2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211" w:type="dxa"/>
          </w:tcPr>
          <w:p w:rsidR="003D0DA9" w:rsidRPr="00B12BDD" w:rsidRDefault="003D0DA9" w:rsidP="00D664C2">
            <w:pPr>
              <w:jc w:val="both"/>
              <w:rPr>
                <w:rFonts w:ascii="Arial" w:hAnsi="Arial" w:cs="Arial"/>
                <w:color w:val="000000"/>
              </w:rPr>
            </w:pPr>
            <w:r w:rsidRPr="00B12BDD">
              <w:rPr>
                <w:rFonts w:ascii="Arial" w:hAnsi="Arial" w:cs="Arial"/>
              </w:rPr>
              <w:t xml:space="preserve">OMPE GP IV (Pty) Ltd, Acting in its Capacity as Ultimate General Partner of OMPE Fund IV Partnership and </w:t>
            </w:r>
            <w:proofErr w:type="spellStart"/>
            <w:r w:rsidRPr="00B12BDD">
              <w:rPr>
                <w:rFonts w:ascii="Arial" w:hAnsi="Arial" w:cs="Arial"/>
              </w:rPr>
              <w:t>Alderbalm</w:t>
            </w:r>
            <w:proofErr w:type="spellEnd"/>
            <w:r w:rsidRPr="00B12BDD">
              <w:rPr>
                <w:rFonts w:ascii="Arial" w:hAnsi="Arial" w:cs="Arial"/>
              </w:rPr>
              <w:t xml:space="preserve"> Trading (Pty) Ltd</w:t>
            </w:r>
          </w:p>
        </w:tc>
        <w:tc>
          <w:tcPr>
            <w:tcW w:w="2885" w:type="dxa"/>
          </w:tcPr>
          <w:p w:rsidR="003D0DA9" w:rsidRPr="00E02933" w:rsidRDefault="003D0DA9" w:rsidP="00D66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without conditions </w:t>
            </w:r>
          </w:p>
        </w:tc>
      </w:tr>
      <w:tr w:rsidR="003D0DA9" w:rsidRPr="00E02933" w:rsidTr="00D664C2">
        <w:trPr>
          <w:trHeight w:val="782"/>
        </w:trPr>
        <w:tc>
          <w:tcPr>
            <w:tcW w:w="3166" w:type="dxa"/>
          </w:tcPr>
          <w:p w:rsidR="003D0DA9" w:rsidRPr="00E02933" w:rsidRDefault="003D0DA9" w:rsidP="00D664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211" w:type="dxa"/>
          </w:tcPr>
          <w:p w:rsidR="003D0DA9" w:rsidRPr="00B12BDD" w:rsidRDefault="003D0DA9" w:rsidP="00D664C2">
            <w:pPr>
              <w:jc w:val="both"/>
              <w:rPr>
                <w:rFonts w:ascii="Arial" w:hAnsi="Arial" w:cs="Arial"/>
                <w:color w:val="000000"/>
              </w:rPr>
            </w:pPr>
            <w:r w:rsidRPr="00B12BDD">
              <w:rPr>
                <w:rFonts w:ascii="Arial" w:hAnsi="Arial" w:cs="Arial"/>
              </w:rPr>
              <w:t xml:space="preserve">EOH </w:t>
            </w:r>
            <w:proofErr w:type="spellStart"/>
            <w:r w:rsidRPr="00B12BDD">
              <w:rPr>
                <w:rFonts w:ascii="Arial" w:hAnsi="Arial" w:cs="Arial"/>
              </w:rPr>
              <w:t>Abantu</w:t>
            </w:r>
            <w:proofErr w:type="spellEnd"/>
            <w:r w:rsidRPr="00B12BDD">
              <w:rPr>
                <w:rFonts w:ascii="Arial" w:hAnsi="Arial" w:cs="Arial"/>
              </w:rPr>
              <w:t xml:space="preserve"> (Pty) Ltd and Grid Control</w:t>
            </w:r>
            <w:r>
              <w:rPr>
                <w:rFonts w:ascii="Arial" w:hAnsi="Arial" w:cs="Arial"/>
              </w:rPr>
              <w:t xml:space="preserve"> Technologies (Pty) Ltd, Forensic Data Analysts (Pty) Ltd, Investigative Software Solutions (Pty) Ltd</w:t>
            </w:r>
          </w:p>
        </w:tc>
        <w:tc>
          <w:tcPr>
            <w:tcW w:w="2885" w:type="dxa"/>
          </w:tcPr>
          <w:p w:rsidR="003D0DA9" w:rsidRPr="00E02933" w:rsidRDefault="003D0DA9" w:rsidP="00D66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without conditions </w:t>
            </w:r>
          </w:p>
        </w:tc>
      </w:tr>
      <w:tr w:rsidR="003D0DA9" w:rsidRPr="00E02933" w:rsidTr="00D664C2">
        <w:trPr>
          <w:trHeight w:val="75"/>
        </w:trPr>
        <w:tc>
          <w:tcPr>
            <w:tcW w:w="3166" w:type="dxa"/>
          </w:tcPr>
          <w:p w:rsidR="003D0DA9" w:rsidRPr="00E02933" w:rsidRDefault="003D0DA9" w:rsidP="00D664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211" w:type="dxa"/>
          </w:tcPr>
          <w:p w:rsidR="003D0DA9" w:rsidRPr="00B12BDD" w:rsidRDefault="003D0DA9" w:rsidP="00D664C2">
            <w:pPr>
              <w:jc w:val="both"/>
              <w:rPr>
                <w:rFonts w:ascii="Arial" w:hAnsi="Arial" w:cs="Arial"/>
                <w:color w:val="000000"/>
              </w:rPr>
            </w:pPr>
            <w:r w:rsidRPr="00B12BDD">
              <w:rPr>
                <w:rFonts w:ascii="Arial" w:hAnsi="Arial" w:cs="Arial"/>
              </w:rPr>
              <w:t>Arrowhead Properties Ltd and Redefine Properties Ltd in Respect of the Property Letting Enterprise Known as Cleary Park</w:t>
            </w:r>
          </w:p>
        </w:tc>
        <w:tc>
          <w:tcPr>
            <w:tcW w:w="2885" w:type="dxa"/>
          </w:tcPr>
          <w:p w:rsidR="003D0DA9" w:rsidRDefault="003D0DA9" w:rsidP="00D66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without conditions </w:t>
            </w:r>
          </w:p>
          <w:p w:rsidR="003D0DA9" w:rsidRDefault="003D0DA9" w:rsidP="00D664C2">
            <w:pPr>
              <w:rPr>
                <w:rFonts w:ascii="Arial" w:hAnsi="Arial" w:cs="Arial"/>
              </w:rPr>
            </w:pPr>
          </w:p>
          <w:p w:rsidR="003D0DA9" w:rsidRDefault="003D0DA9" w:rsidP="00D664C2">
            <w:pPr>
              <w:rPr>
                <w:rFonts w:ascii="Arial" w:hAnsi="Arial" w:cs="Arial"/>
              </w:rPr>
            </w:pPr>
          </w:p>
          <w:p w:rsidR="003D0DA9" w:rsidRPr="00E02933" w:rsidRDefault="003D0DA9" w:rsidP="00D664C2">
            <w:pPr>
              <w:rPr>
                <w:rFonts w:ascii="Arial" w:hAnsi="Arial" w:cs="Arial"/>
              </w:rPr>
            </w:pPr>
          </w:p>
        </w:tc>
      </w:tr>
      <w:tr w:rsidR="003D0DA9" w:rsidRPr="00E02933" w:rsidTr="00D664C2">
        <w:trPr>
          <w:trHeight w:val="75"/>
        </w:trPr>
        <w:tc>
          <w:tcPr>
            <w:tcW w:w="3166" w:type="dxa"/>
          </w:tcPr>
          <w:p w:rsidR="003D0DA9" w:rsidRPr="00E02933" w:rsidRDefault="003D0DA9" w:rsidP="00D664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211" w:type="dxa"/>
            <w:shd w:val="clear" w:color="auto" w:fill="auto"/>
          </w:tcPr>
          <w:p w:rsidR="003D0DA9" w:rsidRPr="00AC3D4C" w:rsidRDefault="003D0DA9" w:rsidP="00D664C2">
            <w:pPr>
              <w:jc w:val="both"/>
              <w:rPr>
                <w:rFonts w:ascii="Arial" w:hAnsi="Arial" w:cs="Arial"/>
                <w:color w:val="000000"/>
              </w:rPr>
            </w:pPr>
            <w:r w:rsidRPr="00AC3D4C">
              <w:rPr>
                <w:rFonts w:ascii="Arial" w:hAnsi="Arial" w:cs="Arial"/>
              </w:rPr>
              <w:t>Barloworld Logistics Africa (Pty) Ltd and KLL Group (Pty) Ltd</w:t>
            </w:r>
          </w:p>
          <w:p w:rsidR="003D0DA9" w:rsidRPr="00E02933" w:rsidRDefault="003D0DA9" w:rsidP="00D664C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5" w:type="dxa"/>
            <w:shd w:val="clear" w:color="auto" w:fill="auto"/>
          </w:tcPr>
          <w:p w:rsidR="003D0DA9" w:rsidRPr="00AC3D4C" w:rsidRDefault="003D0DA9" w:rsidP="00D664C2">
            <w:pPr>
              <w:rPr>
                <w:rFonts w:ascii="Arial" w:hAnsi="Arial" w:cs="Arial"/>
              </w:rPr>
            </w:pPr>
            <w:r w:rsidRPr="00AC3D4C">
              <w:rPr>
                <w:rFonts w:ascii="Arial" w:hAnsi="Arial" w:cs="Arial"/>
              </w:rPr>
              <w:t>Approved without conditions</w:t>
            </w:r>
          </w:p>
        </w:tc>
      </w:tr>
    </w:tbl>
    <w:p w:rsidR="004F4CD0" w:rsidRDefault="004F4CD0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Competition Tribunal has confirmed</w:t>
      </w:r>
      <w:r w:rsidR="00F47BA3">
        <w:rPr>
          <w:rFonts w:ascii="Arial" w:hAnsi="Arial" w:cs="Arial"/>
          <w:color w:val="000000"/>
        </w:rPr>
        <w:t xml:space="preserve"> and approved the consent agreement as agreed to and proposed by </w:t>
      </w:r>
      <w:r w:rsidR="00F47BA3" w:rsidRPr="00F47BA3">
        <w:rPr>
          <w:rFonts w:ascii="Arial" w:hAnsi="Arial" w:cs="Arial"/>
          <w:b/>
          <w:color w:val="000000"/>
        </w:rPr>
        <w:t xml:space="preserve">Basil Read </w:t>
      </w:r>
      <w:r w:rsidR="00F47BA3">
        <w:rPr>
          <w:rFonts w:ascii="Arial" w:hAnsi="Arial" w:cs="Arial"/>
          <w:color w:val="000000"/>
        </w:rPr>
        <w:t xml:space="preserve">and the Competition Commission. Basil Read </w:t>
      </w:r>
      <w:r>
        <w:rPr>
          <w:rFonts w:ascii="Arial" w:hAnsi="Arial" w:cs="Arial"/>
          <w:color w:val="000000"/>
        </w:rPr>
        <w:t xml:space="preserve">was the first company to come forward with evidence of cover price fixing in connection with the rehabilitation of sections of the P65/2 road to N1. </w:t>
      </w:r>
      <w:r w:rsidR="00F47BA3">
        <w:rPr>
          <w:rFonts w:ascii="Arial" w:hAnsi="Arial" w:cs="Arial"/>
          <w:color w:val="000000"/>
        </w:rPr>
        <w:t xml:space="preserve">The two other companies involved have since been liquidated. </w:t>
      </w:r>
      <w:r w:rsidR="004F4CD0">
        <w:rPr>
          <w:rFonts w:ascii="Arial" w:hAnsi="Arial" w:cs="Arial"/>
          <w:color w:val="000000"/>
        </w:rPr>
        <w:t xml:space="preserve">The Competition Commission has given Basil Read immunity for this project. </w:t>
      </w:r>
    </w:p>
    <w:p w:rsidR="00F47BA3" w:rsidRDefault="00F47BA3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Default="00F47BA3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Tribunal confirmed the settlement agreement between the Competition Tribunal and </w:t>
      </w:r>
      <w:r w:rsidR="003D0DA9" w:rsidRPr="00AC3D4C">
        <w:rPr>
          <w:rFonts w:ascii="Arial" w:hAnsi="Arial" w:cs="Arial"/>
          <w:b/>
          <w:color w:val="000000"/>
        </w:rPr>
        <w:t xml:space="preserve">Dura </w:t>
      </w:r>
      <w:proofErr w:type="spellStart"/>
      <w:r w:rsidR="003D0DA9" w:rsidRPr="00AC3D4C">
        <w:rPr>
          <w:rFonts w:ascii="Arial" w:hAnsi="Arial" w:cs="Arial"/>
          <w:b/>
          <w:color w:val="000000"/>
        </w:rPr>
        <w:t>Soletanche-Bachy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that will </w:t>
      </w:r>
      <w:r w:rsidR="004F4CD0">
        <w:rPr>
          <w:rFonts w:ascii="Arial" w:hAnsi="Arial" w:cs="Arial"/>
          <w:color w:val="000000"/>
        </w:rPr>
        <w:t xml:space="preserve">see it pay almost R1-million compensation for taking part </w:t>
      </w:r>
      <w:r w:rsidR="003D0DA9">
        <w:rPr>
          <w:rFonts w:ascii="Arial" w:hAnsi="Arial" w:cs="Arial"/>
          <w:color w:val="000000"/>
        </w:rPr>
        <w:t>in collusive behaviour, which saw companies in the sector dividing up projects. In this case 11 projec</w:t>
      </w:r>
      <w:r w:rsidR="004F4CD0">
        <w:rPr>
          <w:rFonts w:ascii="Arial" w:hAnsi="Arial" w:cs="Arial"/>
          <w:color w:val="000000"/>
        </w:rPr>
        <w:t xml:space="preserve">ts were involved, including the Gautrain Rapid Rail Link project. </w:t>
      </w: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Competition </w:t>
      </w:r>
      <w:r>
        <w:rPr>
          <w:rFonts w:ascii="Arial" w:hAnsi="Arial" w:cs="Arial"/>
          <w:color w:val="000000"/>
        </w:rPr>
        <w:t xml:space="preserve">Tribunal </w:t>
      </w:r>
      <w:r w:rsidR="004F4CD0">
        <w:rPr>
          <w:rFonts w:ascii="Arial" w:hAnsi="Arial" w:cs="Arial"/>
          <w:color w:val="000000"/>
        </w:rPr>
        <w:t xml:space="preserve">has approval </w:t>
      </w:r>
      <w:r>
        <w:rPr>
          <w:rFonts w:ascii="Arial" w:hAnsi="Arial" w:cs="Arial"/>
          <w:color w:val="000000"/>
        </w:rPr>
        <w:t xml:space="preserve">the merger between </w:t>
      </w:r>
      <w:r w:rsidRPr="00636659">
        <w:rPr>
          <w:rFonts w:ascii="Arial" w:hAnsi="Arial" w:cs="Arial"/>
          <w:b/>
          <w:color w:val="000000"/>
        </w:rPr>
        <w:t>Barloworld Logistics Africa</w:t>
      </w:r>
      <w:r>
        <w:rPr>
          <w:rFonts w:ascii="Arial" w:hAnsi="Arial" w:cs="Arial"/>
          <w:color w:val="000000"/>
        </w:rPr>
        <w:t>, part of JSE-listed Barloworld Limited</w:t>
      </w:r>
      <w:r w:rsidR="004F4CD0">
        <w:rPr>
          <w:rFonts w:ascii="Arial" w:hAnsi="Arial" w:cs="Arial"/>
          <w:color w:val="000000"/>
        </w:rPr>
        <w:t xml:space="preserve">, and </w:t>
      </w:r>
      <w:r w:rsidRPr="00636659">
        <w:rPr>
          <w:rFonts w:ascii="Arial" w:hAnsi="Arial" w:cs="Arial"/>
          <w:b/>
          <w:color w:val="000000"/>
        </w:rPr>
        <w:t>KLL Group</w:t>
      </w:r>
      <w:r>
        <w:rPr>
          <w:rFonts w:ascii="Arial" w:hAnsi="Arial" w:cs="Arial"/>
          <w:color w:val="000000"/>
        </w:rPr>
        <w:t xml:space="preserve">. There was some concern over the apparent overlap between KLL and Barloworld’s subcontracting and distribution of food products services to KLL. </w:t>
      </w:r>
      <w:r w:rsidR="004F4CD0">
        <w:rPr>
          <w:rFonts w:ascii="Arial" w:hAnsi="Arial" w:cs="Arial"/>
          <w:color w:val="000000"/>
        </w:rPr>
        <w:t xml:space="preserve">It was found, however, that the services were of </w:t>
      </w:r>
      <w:r>
        <w:rPr>
          <w:rFonts w:ascii="Arial" w:hAnsi="Arial" w:cs="Arial"/>
          <w:color w:val="000000"/>
        </w:rPr>
        <w:t>relatively low value relative</w:t>
      </w:r>
      <w:r w:rsidR="00DD40BB">
        <w:rPr>
          <w:rFonts w:ascii="Arial" w:hAnsi="Arial" w:cs="Arial"/>
          <w:color w:val="000000"/>
        </w:rPr>
        <w:t xml:space="preserve"> to the overall revenue of KLL. KLL is also seen to service another market. </w:t>
      </w: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Default="004F4CD0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merger </w:t>
      </w:r>
      <w:r w:rsidR="003D0DA9">
        <w:rPr>
          <w:rFonts w:ascii="Arial" w:hAnsi="Arial" w:cs="Arial"/>
          <w:color w:val="000000"/>
        </w:rPr>
        <w:t xml:space="preserve">between </w:t>
      </w:r>
      <w:r w:rsidR="003D0DA9" w:rsidRPr="00793BC9">
        <w:rPr>
          <w:rFonts w:ascii="Arial" w:hAnsi="Arial" w:cs="Arial"/>
          <w:b/>
          <w:color w:val="000000"/>
        </w:rPr>
        <w:t>Arrowhead Properties</w:t>
      </w:r>
      <w:r w:rsidR="003D0DA9">
        <w:rPr>
          <w:rFonts w:ascii="Arial" w:hAnsi="Arial" w:cs="Arial"/>
          <w:color w:val="000000"/>
        </w:rPr>
        <w:t xml:space="preserve"> and a property letting enterprise known as Cleary Park, owned by </w:t>
      </w:r>
      <w:r w:rsidR="003D0DA9" w:rsidRPr="00793BC9">
        <w:rPr>
          <w:rFonts w:ascii="Arial" w:hAnsi="Arial" w:cs="Arial"/>
          <w:b/>
          <w:color w:val="000000"/>
        </w:rPr>
        <w:t>Redefine Properties</w:t>
      </w:r>
      <w:r w:rsidR="00DD40BB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was approved by the Tribunal</w:t>
      </w:r>
      <w:r w:rsidR="003D0DA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The merger involved a small regional shopping centre in the Eastern Cape. The Competition Commission argued that the merger would not affect competition area with the closest retail venue over 20km away.  </w:t>
      </w: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Tribunal </w:t>
      </w:r>
      <w:r w:rsidR="004F4CD0">
        <w:rPr>
          <w:rFonts w:ascii="Arial" w:hAnsi="Arial" w:cs="Arial"/>
          <w:color w:val="000000"/>
        </w:rPr>
        <w:t xml:space="preserve">has approved the </w:t>
      </w:r>
      <w:r>
        <w:rPr>
          <w:rFonts w:ascii="Arial" w:hAnsi="Arial" w:cs="Arial"/>
          <w:color w:val="000000"/>
        </w:rPr>
        <w:t xml:space="preserve">merger of </w:t>
      </w:r>
      <w:r w:rsidRPr="00B101E1">
        <w:rPr>
          <w:rFonts w:ascii="Arial" w:hAnsi="Arial" w:cs="Arial"/>
          <w:b/>
          <w:color w:val="000000"/>
        </w:rPr>
        <w:t>OMPE GP IV</w:t>
      </w:r>
      <w:r>
        <w:rPr>
          <w:rFonts w:ascii="Arial" w:hAnsi="Arial" w:cs="Arial"/>
          <w:color w:val="000000"/>
        </w:rPr>
        <w:t xml:space="preserve">, which is ultimately owned by Old Mutual, and that of </w:t>
      </w:r>
      <w:proofErr w:type="spellStart"/>
      <w:r w:rsidRPr="00B101E1">
        <w:rPr>
          <w:rFonts w:ascii="Arial" w:hAnsi="Arial" w:cs="Arial"/>
          <w:b/>
          <w:color w:val="000000"/>
        </w:rPr>
        <w:t>Alderbalm</w:t>
      </w:r>
      <w:proofErr w:type="spellEnd"/>
      <w:r w:rsidRPr="00B101E1">
        <w:rPr>
          <w:rFonts w:ascii="Arial" w:hAnsi="Arial" w:cs="Arial"/>
          <w:b/>
          <w:color w:val="000000"/>
        </w:rPr>
        <w:t xml:space="preserve"> Trading</w:t>
      </w:r>
      <w:r>
        <w:rPr>
          <w:rFonts w:ascii="Arial" w:hAnsi="Arial" w:cs="Arial"/>
          <w:color w:val="000000"/>
        </w:rPr>
        <w:t>, (</w:t>
      </w:r>
      <w:r w:rsidRPr="00B101E1">
        <w:rPr>
          <w:rFonts w:ascii="Arial" w:hAnsi="Arial" w:cs="Arial"/>
          <w:b/>
          <w:color w:val="000000"/>
        </w:rPr>
        <w:t>New Hold</w:t>
      </w:r>
      <w:r>
        <w:rPr>
          <w:rFonts w:ascii="Arial" w:hAnsi="Arial" w:cs="Arial"/>
          <w:b/>
          <w:color w:val="000000"/>
        </w:rPr>
        <w:t>c</w:t>
      </w:r>
      <w:r w:rsidRPr="00B101E1">
        <w:rPr>
          <w:rFonts w:ascii="Arial" w:hAnsi="Arial" w:cs="Arial"/>
          <w:b/>
          <w:color w:val="000000"/>
        </w:rPr>
        <w:t>o</w:t>
      </w:r>
      <w:r>
        <w:rPr>
          <w:rFonts w:ascii="Arial" w:hAnsi="Arial" w:cs="Arial"/>
          <w:color w:val="000000"/>
        </w:rPr>
        <w:t xml:space="preserve">), a newly established firm. Old Mutual is an international long-term savings, banking and investment group, while New Holdco, which owns the </w:t>
      </w:r>
      <w:proofErr w:type="spellStart"/>
      <w:r>
        <w:rPr>
          <w:rFonts w:ascii="Arial" w:hAnsi="Arial" w:cs="Arial"/>
          <w:color w:val="000000"/>
        </w:rPr>
        <w:t>MoreGroup</w:t>
      </w:r>
      <w:proofErr w:type="spellEnd"/>
      <w:r>
        <w:rPr>
          <w:rFonts w:ascii="Arial" w:hAnsi="Arial" w:cs="Arial"/>
          <w:color w:val="000000"/>
        </w:rPr>
        <w:t xml:space="preserve"> and its subsidiaries, is involved in the retail of golf and cycling equipment, accessories and th</w:t>
      </w:r>
      <w:r w:rsidR="004F4CD0">
        <w:rPr>
          <w:rFonts w:ascii="Arial" w:hAnsi="Arial" w:cs="Arial"/>
          <w:color w:val="000000"/>
        </w:rPr>
        <w:t xml:space="preserve">e Centurion Golf Driving Range. There was seen to be no competition concerns. </w:t>
      </w: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Default="004F4CD0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merger of </w:t>
      </w:r>
      <w:r w:rsidR="003D0DA9" w:rsidRPr="00B101E1">
        <w:rPr>
          <w:rFonts w:ascii="Arial" w:hAnsi="Arial" w:cs="Arial"/>
          <w:b/>
          <w:color w:val="000000"/>
        </w:rPr>
        <w:t xml:space="preserve">EOH </w:t>
      </w:r>
      <w:proofErr w:type="spellStart"/>
      <w:r w:rsidR="003D0DA9" w:rsidRPr="00B101E1">
        <w:rPr>
          <w:rFonts w:ascii="Arial" w:hAnsi="Arial" w:cs="Arial"/>
          <w:b/>
          <w:color w:val="000000"/>
        </w:rPr>
        <w:t>Abantu</w:t>
      </w:r>
      <w:proofErr w:type="spellEnd"/>
      <w:r w:rsidR="00DD40BB">
        <w:rPr>
          <w:rFonts w:ascii="Arial" w:hAnsi="Arial" w:cs="Arial"/>
          <w:b/>
          <w:color w:val="000000"/>
        </w:rPr>
        <w:t xml:space="preserve"> </w:t>
      </w:r>
      <w:r w:rsidR="00DD40BB">
        <w:rPr>
          <w:rFonts w:ascii="Arial" w:hAnsi="Arial" w:cs="Arial"/>
          <w:color w:val="000000"/>
        </w:rPr>
        <w:t xml:space="preserve">and </w:t>
      </w:r>
      <w:r w:rsidR="003D0DA9" w:rsidRPr="00B101E1">
        <w:rPr>
          <w:rFonts w:ascii="Arial" w:hAnsi="Arial" w:cs="Arial"/>
          <w:b/>
          <w:color w:val="000000"/>
        </w:rPr>
        <w:t>Grid Control Technologies (GCT), Forensic Data Analyst (FDA) and Investigative Software Solutions (ISS)</w:t>
      </w:r>
      <w:r w:rsidR="00DD40BB">
        <w:rPr>
          <w:rFonts w:ascii="Arial" w:hAnsi="Arial" w:cs="Arial"/>
          <w:b/>
          <w:color w:val="000000"/>
        </w:rPr>
        <w:t xml:space="preserve"> </w:t>
      </w:r>
      <w:r w:rsidR="00DD40BB">
        <w:rPr>
          <w:rFonts w:ascii="Arial" w:hAnsi="Arial" w:cs="Arial"/>
          <w:color w:val="000000"/>
        </w:rPr>
        <w:t>was also approved by the Tribunal</w:t>
      </w:r>
      <w:r w:rsidR="003D0DA9">
        <w:rPr>
          <w:rFonts w:ascii="Arial" w:hAnsi="Arial" w:cs="Arial"/>
          <w:color w:val="000000"/>
        </w:rPr>
        <w:t xml:space="preserve">. EOH Holdings provides consulting technology and outsourcing services, while GCT, FDA and ISS offer software solutions that largely assist with various types of forensic research. </w:t>
      </w: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3D0DA9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3D0DA9" w:rsidRPr="00E02933" w:rsidRDefault="003D0DA9" w:rsidP="003D0DA9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E1642F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A9"/>
    <w:rsid w:val="00212E59"/>
    <w:rsid w:val="003D0DA9"/>
    <w:rsid w:val="004F4CD0"/>
    <w:rsid w:val="00DD40BB"/>
    <w:rsid w:val="00F47BA3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C9131-857A-4142-9796-C2D7D15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DA9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DA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1</cp:revision>
  <dcterms:created xsi:type="dcterms:W3CDTF">2015-11-18T13:21:00Z</dcterms:created>
  <dcterms:modified xsi:type="dcterms:W3CDTF">2015-11-18T13:56:00Z</dcterms:modified>
</cp:coreProperties>
</file>