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E50" w:rsidRDefault="00F47E50" w:rsidP="00F47E50">
      <w:pPr>
        <w:autoSpaceDE w:val="0"/>
        <w:autoSpaceDN w:val="0"/>
        <w:spacing w:line="276" w:lineRule="auto"/>
        <w:ind w:left="851" w:hanging="851"/>
        <w:jc w:val="both"/>
        <w:rPr>
          <w:rFonts w:ascii="Arial" w:hAnsi="Arial" w:cs="Arial"/>
          <w:b/>
          <w:bCs/>
          <w:sz w:val="20"/>
          <w:szCs w:val="20"/>
          <w:lang w:val="en-GB"/>
        </w:rPr>
      </w:pPr>
    </w:p>
    <w:p w:rsidR="00F47E50" w:rsidRDefault="00F47E50" w:rsidP="00F47E50">
      <w:pPr>
        <w:autoSpaceDE w:val="0"/>
        <w:autoSpaceDN w:val="0"/>
        <w:spacing w:line="276" w:lineRule="auto"/>
        <w:ind w:left="851" w:hanging="851"/>
        <w:jc w:val="both"/>
        <w:rPr>
          <w:rFonts w:ascii="Arial" w:hAnsi="Arial" w:cs="Arial"/>
          <w:b/>
          <w:bCs/>
          <w:sz w:val="20"/>
          <w:szCs w:val="20"/>
          <w:lang w:val="en-GB"/>
        </w:rPr>
      </w:pPr>
    </w:p>
    <w:p w:rsidR="0081400D" w:rsidRPr="008E5895" w:rsidRDefault="0081400D" w:rsidP="0081400D">
      <w:pPr>
        <w:pStyle w:val="Default"/>
        <w:ind w:left="567" w:right="567"/>
        <w:jc w:val="center"/>
      </w:pPr>
      <w:r w:rsidRPr="008E5895">
        <w:rPr>
          <w:b/>
          <w:noProof/>
          <w:lang w:val="en-US"/>
        </w:rPr>
        <w:drawing>
          <wp:inline distT="0" distB="0" distL="0" distR="0" wp14:anchorId="762107D3" wp14:editId="6C36134D">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81400D" w:rsidRPr="008E5895" w:rsidRDefault="0081400D" w:rsidP="0081400D">
      <w:pPr>
        <w:pStyle w:val="Default"/>
        <w:ind w:left="567" w:right="567"/>
        <w:rPr>
          <w:b/>
          <w:bCs/>
        </w:rPr>
      </w:pPr>
    </w:p>
    <w:p w:rsidR="0081400D" w:rsidRPr="008E5895" w:rsidRDefault="0081400D" w:rsidP="0081400D">
      <w:pPr>
        <w:pStyle w:val="Default"/>
        <w:ind w:left="567" w:right="567"/>
        <w:rPr>
          <w:b/>
          <w:bCs/>
        </w:rPr>
      </w:pPr>
    </w:p>
    <w:p w:rsidR="0081400D" w:rsidRPr="008E5895" w:rsidRDefault="0081400D" w:rsidP="0081400D">
      <w:pPr>
        <w:ind w:left="567" w:right="567"/>
        <w:jc w:val="center"/>
        <w:rPr>
          <w:rFonts w:ascii="Arial" w:hAnsi="Arial" w:cs="Arial"/>
          <w:b/>
          <w:sz w:val="24"/>
          <w:szCs w:val="24"/>
        </w:rPr>
      </w:pPr>
    </w:p>
    <w:p w:rsidR="0081400D" w:rsidRPr="004D1A78" w:rsidRDefault="0081400D" w:rsidP="0081400D">
      <w:pPr>
        <w:ind w:left="567" w:right="567"/>
        <w:jc w:val="center"/>
        <w:rPr>
          <w:rFonts w:ascii="Arial" w:hAnsi="Arial" w:cs="Arial"/>
          <w:b/>
        </w:rPr>
      </w:pPr>
      <w:r>
        <w:rPr>
          <w:rFonts w:ascii="Arial" w:hAnsi="Arial" w:cs="Arial"/>
          <w:b/>
        </w:rPr>
        <w:t xml:space="preserve">TRIBUNAL </w:t>
      </w:r>
      <w:r w:rsidR="00ED1028">
        <w:rPr>
          <w:rFonts w:ascii="Arial" w:hAnsi="Arial" w:cs="Arial"/>
          <w:b/>
        </w:rPr>
        <w:t xml:space="preserve">HEARING OUTCOME </w:t>
      </w:r>
      <w:r w:rsidR="00F77ADD">
        <w:rPr>
          <w:rFonts w:ascii="Arial" w:hAnsi="Arial" w:cs="Arial"/>
          <w:b/>
        </w:rPr>
        <w:t>FOR WEDNESDAY, 13 DECEMBER</w:t>
      </w:r>
      <w:r w:rsidRPr="004D1A78">
        <w:rPr>
          <w:rFonts w:ascii="Arial" w:hAnsi="Arial" w:cs="Arial"/>
          <w:b/>
        </w:rPr>
        <w:t>, 2017</w:t>
      </w:r>
    </w:p>
    <w:p w:rsidR="0081400D" w:rsidRPr="004D1A78" w:rsidRDefault="0081400D" w:rsidP="0081400D">
      <w:pPr>
        <w:ind w:left="567" w:right="567"/>
        <w:jc w:val="center"/>
        <w:rPr>
          <w:rFonts w:ascii="Arial" w:hAnsi="Arial" w:cs="Arial"/>
          <w:b/>
        </w:rPr>
      </w:pPr>
    </w:p>
    <w:p w:rsidR="0081400D" w:rsidRPr="004D1A78" w:rsidRDefault="0081400D" w:rsidP="0081400D">
      <w:pPr>
        <w:ind w:left="567" w:right="567"/>
        <w:jc w:val="both"/>
        <w:rPr>
          <w:rFonts w:ascii="Arial" w:hAnsi="Arial" w:cs="Arial"/>
        </w:rPr>
      </w:pPr>
    </w:p>
    <w:tbl>
      <w:tblPr>
        <w:tblStyle w:val="TableGrid"/>
        <w:tblW w:w="9338" w:type="dxa"/>
        <w:tblInd w:w="-5"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1825"/>
        <w:gridCol w:w="2268"/>
        <w:gridCol w:w="2551"/>
        <w:gridCol w:w="2694"/>
      </w:tblGrid>
      <w:tr w:rsidR="00ED1028" w:rsidRPr="004D1A78" w:rsidTr="00F77ADD">
        <w:trPr>
          <w:trHeight w:val="972"/>
        </w:trPr>
        <w:tc>
          <w:tcPr>
            <w:tcW w:w="1825" w:type="dxa"/>
            <w:shd w:val="clear" w:color="auto" w:fill="996633"/>
          </w:tcPr>
          <w:p w:rsidR="00ED1028" w:rsidRPr="004D1A78" w:rsidRDefault="00ED1028" w:rsidP="00F2062E">
            <w:pPr>
              <w:ind w:right="567"/>
              <w:rPr>
                <w:rFonts w:ascii="Arial" w:hAnsi="Arial" w:cs="Arial"/>
                <w:color w:val="FFFFFF" w:themeColor="background1"/>
              </w:rPr>
            </w:pPr>
            <w:r w:rsidRPr="004D1A78">
              <w:rPr>
                <w:rFonts w:ascii="Arial" w:hAnsi="Arial" w:cs="Arial"/>
                <w:color w:val="FFFFFF" w:themeColor="background1"/>
              </w:rPr>
              <w:t>Type of matter</w:t>
            </w:r>
          </w:p>
        </w:tc>
        <w:tc>
          <w:tcPr>
            <w:tcW w:w="2268" w:type="dxa"/>
            <w:shd w:val="clear" w:color="auto" w:fill="996633"/>
          </w:tcPr>
          <w:p w:rsidR="00ED1028" w:rsidRPr="004D1A78" w:rsidRDefault="00ED1028" w:rsidP="00F2062E">
            <w:pPr>
              <w:ind w:right="567"/>
              <w:rPr>
                <w:rFonts w:ascii="Arial" w:hAnsi="Arial" w:cs="Arial"/>
                <w:color w:val="FFFFFF" w:themeColor="background1"/>
              </w:rPr>
            </w:pPr>
            <w:r w:rsidRPr="004D1A78">
              <w:rPr>
                <w:rFonts w:ascii="Arial" w:hAnsi="Arial" w:cs="Arial"/>
                <w:color w:val="FFFFFF" w:themeColor="background1"/>
              </w:rPr>
              <w:t>Parties involved</w:t>
            </w:r>
          </w:p>
        </w:tc>
        <w:tc>
          <w:tcPr>
            <w:tcW w:w="2551" w:type="dxa"/>
            <w:shd w:val="clear" w:color="auto" w:fill="996633"/>
          </w:tcPr>
          <w:p w:rsidR="00ED1028" w:rsidRPr="004D1A78" w:rsidRDefault="00ED1028" w:rsidP="00F2062E">
            <w:pPr>
              <w:ind w:right="567"/>
              <w:rPr>
                <w:rFonts w:ascii="Arial" w:hAnsi="Arial" w:cs="Arial"/>
                <w:color w:val="FFFFFF" w:themeColor="background1"/>
              </w:rPr>
            </w:pPr>
            <w:r w:rsidRPr="004D1A78">
              <w:rPr>
                <w:rFonts w:ascii="Arial" w:hAnsi="Arial" w:cs="Arial"/>
                <w:color w:val="FFFFFF" w:themeColor="background1"/>
              </w:rPr>
              <w:t>Competition Commission’s recommendation to Tribunal</w:t>
            </w:r>
          </w:p>
        </w:tc>
        <w:tc>
          <w:tcPr>
            <w:tcW w:w="2694" w:type="dxa"/>
            <w:shd w:val="clear" w:color="auto" w:fill="996633"/>
          </w:tcPr>
          <w:p w:rsidR="00ED1028" w:rsidRPr="004D1A78" w:rsidRDefault="00ED1028" w:rsidP="00F2062E">
            <w:pPr>
              <w:ind w:right="567"/>
              <w:rPr>
                <w:rFonts w:ascii="Arial" w:hAnsi="Arial" w:cs="Arial"/>
                <w:color w:val="FFFFFF" w:themeColor="background1"/>
              </w:rPr>
            </w:pPr>
            <w:r>
              <w:rPr>
                <w:rFonts w:ascii="Arial" w:hAnsi="Arial" w:cs="Arial"/>
                <w:color w:val="FFFFFF" w:themeColor="background1"/>
              </w:rPr>
              <w:t xml:space="preserve">Tribunal decision </w:t>
            </w:r>
          </w:p>
        </w:tc>
      </w:tr>
      <w:tr w:rsidR="00ED1028" w:rsidRPr="004D1A78" w:rsidTr="00F77ADD">
        <w:trPr>
          <w:trHeight w:val="493"/>
        </w:trPr>
        <w:tc>
          <w:tcPr>
            <w:tcW w:w="1825" w:type="dxa"/>
          </w:tcPr>
          <w:p w:rsidR="00ED1028" w:rsidRPr="00F77ADD" w:rsidRDefault="00ED1028" w:rsidP="00F2062E">
            <w:pPr>
              <w:ind w:right="567"/>
              <w:jc w:val="both"/>
              <w:rPr>
                <w:rFonts w:ascii="Arial" w:hAnsi="Arial" w:cs="Arial"/>
              </w:rPr>
            </w:pPr>
            <w:r w:rsidRPr="00F77ADD">
              <w:rPr>
                <w:rFonts w:ascii="Arial" w:hAnsi="Arial" w:cs="Arial"/>
              </w:rPr>
              <w:t>Large merger</w:t>
            </w:r>
          </w:p>
        </w:tc>
        <w:tc>
          <w:tcPr>
            <w:tcW w:w="2268" w:type="dxa"/>
          </w:tcPr>
          <w:p w:rsidR="00F77ADD" w:rsidRPr="00F77ADD" w:rsidRDefault="00F77ADD" w:rsidP="00F77ADD">
            <w:pPr>
              <w:jc w:val="both"/>
              <w:rPr>
                <w:rFonts w:ascii="Arial" w:hAnsi="Arial" w:cs="Arial"/>
              </w:rPr>
            </w:pPr>
            <w:r w:rsidRPr="00F77ADD">
              <w:rPr>
                <w:rFonts w:ascii="Arial" w:hAnsi="Arial" w:cs="Arial"/>
                <w:color w:val="000000"/>
              </w:rPr>
              <w:t>Unemployment Insurance Fund Duly Represented By Public Investment Corporation SOC Ltd And Clinix Health Group Limited ("CHG")</w:t>
            </w:r>
          </w:p>
          <w:p w:rsidR="00ED1028" w:rsidRPr="0092218D" w:rsidRDefault="00ED1028" w:rsidP="00F2062E">
            <w:pPr>
              <w:ind w:right="567"/>
              <w:jc w:val="both"/>
              <w:rPr>
                <w:rFonts w:ascii="Arial" w:hAnsi="Arial" w:cs="Arial"/>
                <w:color w:val="000000"/>
                <w:sz w:val="20"/>
                <w:szCs w:val="20"/>
              </w:rPr>
            </w:pPr>
          </w:p>
        </w:tc>
        <w:tc>
          <w:tcPr>
            <w:tcW w:w="2551" w:type="dxa"/>
          </w:tcPr>
          <w:p w:rsidR="00ED1028" w:rsidRPr="00F77ADD" w:rsidRDefault="00ED1028" w:rsidP="00F2062E">
            <w:pPr>
              <w:ind w:right="567"/>
              <w:jc w:val="both"/>
              <w:rPr>
                <w:rFonts w:ascii="Arial" w:hAnsi="Arial" w:cs="Arial"/>
              </w:rPr>
            </w:pPr>
            <w:r w:rsidRPr="00F77ADD">
              <w:rPr>
                <w:rFonts w:ascii="Arial" w:hAnsi="Arial" w:cs="Arial"/>
              </w:rPr>
              <w:t>Approve without conditions</w:t>
            </w:r>
          </w:p>
        </w:tc>
        <w:tc>
          <w:tcPr>
            <w:tcW w:w="2694" w:type="dxa"/>
          </w:tcPr>
          <w:p w:rsidR="00ED1028" w:rsidRPr="00F77ADD" w:rsidRDefault="00ED1028" w:rsidP="00F2062E">
            <w:pPr>
              <w:ind w:right="567"/>
              <w:jc w:val="both"/>
              <w:rPr>
                <w:rFonts w:ascii="Arial" w:hAnsi="Arial" w:cs="Arial"/>
              </w:rPr>
            </w:pPr>
            <w:r w:rsidRPr="00F77ADD">
              <w:rPr>
                <w:rFonts w:ascii="Arial" w:hAnsi="Arial" w:cs="Arial"/>
              </w:rPr>
              <w:t xml:space="preserve">Approved without conditions </w:t>
            </w:r>
          </w:p>
        </w:tc>
      </w:tr>
    </w:tbl>
    <w:p w:rsidR="00E06EF2" w:rsidRDefault="00E06EF2" w:rsidP="00EB74B3">
      <w:pPr>
        <w:autoSpaceDE w:val="0"/>
        <w:autoSpaceDN w:val="0"/>
        <w:spacing w:line="276" w:lineRule="auto"/>
        <w:ind w:left="851" w:hanging="851"/>
        <w:jc w:val="both"/>
        <w:rPr>
          <w:rFonts w:ascii="Arial" w:hAnsi="Arial" w:cs="Arial"/>
          <w:b/>
          <w:bCs/>
          <w:sz w:val="20"/>
          <w:szCs w:val="20"/>
          <w:lang w:val="en-GB"/>
        </w:rPr>
      </w:pPr>
    </w:p>
    <w:p w:rsidR="00F77ADD" w:rsidRPr="00F77ADD" w:rsidRDefault="005C35F7" w:rsidP="00F77ADD">
      <w:pPr>
        <w:spacing w:before="240"/>
        <w:rPr>
          <w:rFonts w:ascii="Arial" w:hAnsi="Arial" w:cs="Arial"/>
          <w:b/>
        </w:rPr>
      </w:pPr>
      <w:r>
        <w:rPr>
          <w:rFonts w:ascii="Arial" w:hAnsi="Arial" w:cs="Arial"/>
          <w:b/>
        </w:rPr>
        <w:t xml:space="preserve">Merger involving </w:t>
      </w:r>
      <w:r w:rsidR="00F77ADD" w:rsidRPr="00F77ADD">
        <w:rPr>
          <w:rFonts w:ascii="Arial" w:hAnsi="Arial" w:cs="Arial"/>
          <w:b/>
        </w:rPr>
        <w:t xml:space="preserve">Unemployment Insurance Fund represented by PIC </w:t>
      </w:r>
      <w:r>
        <w:rPr>
          <w:rFonts w:ascii="Arial" w:hAnsi="Arial" w:cs="Arial"/>
          <w:b/>
        </w:rPr>
        <w:t xml:space="preserve">and </w:t>
      </w:r>
      <w:r w:rsidR="00F77ADD" w:rsidRPr="00F77ADD">
        <w:rPr>
          <w:rFonts w:ascii="Arial" w:hAnsi="Arial" w:cs="Arial"/>
          <w:b/>
        </w:rPr>
        <w:t>Clinix Health Group</w:t>
      </w:r>
      <w:r>
        <w:rPr>
          <w:rFonts w:ascii="Arial" w:hAnsi="Arial" w:cs="Arial"/>
          <w:b/>
        </w:rPr>
        <w:t xml:space="preserve"> approved</w:t>
      </w:r>
    </w:p>
    <w:p w:rsidR="00F77ADD" w:rsidRPr="00F77ADD" w:rsidRDefault="00F77ADD" w:rsidP="00F77ADD">
      <w:pPr>
        <w:spacing w:before="240"/>
        <w:rPr>
          <w:rFonts w:ascii="Arial" w:hAnsi="Arial" w:cs="Arial"/>
        </w:rPr>
      </w:pPr>
      <w:r w:rsidRPr="00F77ADD">
        <w:rPr>
          <w:rFonts w:ascii="Arial" w:hAnsi="Arial" w:cs="Arial"/>
        </w:rPr>
        <w:t xml:space="preserve">The </w:t>
      </w:r>
      <w:r w:rsidR="005C35F7">
        <w:rPr>
          <w:rFonts w:ascii="Arial" w:hAnsi="Arial" w:cs="Arial"/>
        </w:rPr>
        <w:t xml:space="preserve">Competition Tribunal has approved a </w:t>
      </w:r>
      <w:r w:rsidRPr="00F77ADD">
        <w:rPr>
          <w:rFonts w:ascii="Arial" w:hAnsi="Arial" w:cs="Arial"/>
        </w:rPr>
        <w:t>merger whereby the PIC, acting as asset manager for the UIF (Unemployment Insurance Fund), will obtain a shareholding in The Clinix Hospital Group, a company controlling a number of private hospitals established across the Gauteng and North West Provinces built in or around lower income areas, targeting specifically lower income earners.</w:t>
      </w:r>
    </w:p>
    <w:p w:rsidR="00F77ADD" w:rsidRPr="00F77ADD" w:rsidRDefault="00F77ADD" w:rsidP="00F77ADD">
      <w:pPr>
        <w:spacing w:before="240"/>
        <w:jc w:val="both"/>
        <w:rPr>
          <w:rFonts w:ascii="Arial" w:hAnsi="Arial" w:cs="Arial"/>
        </w:rPr>
      </w:pPr>
      <w:r w:rsidRPr="00F77ADD">
        <w:rPr>
          <w:rFonts w:ascii="Arial" w:hAnsi="Arial" w:cs="Arial"/>
        </w:rPr>
        <w:t xml:space="preserve">Whilst the UIF does not hold any shares in companies which operate in the healthcare industry, the PIC has interests in a number of healthcare service providers and individual private hospitals. </w:t>
      </w:r>
    </w:p>
    <w:p w:rsidR="00F77ADD" w:rsidRPr="00F77ADD" w:rsidRDefault="00F77ADD" w:rsidP="00F77ADD">
      <w:pPr>
        <w:spacing w:before="240"/>
        <w:jc w:val="both"/>
        <w:rPr>
          <w:rFonts w:ascii="Arial" w:hAnsi="Arial" w:cs="Arial"/>
        </w:rPr>
      </w:pPr>
      <w:r w:rsidRPr="00F77ADD">
        <w:rPr>
          <w:rFonts w:ascii="Arial" w:hAnsi="Arial" w:cs="Arial"/>
        </w:rPr>
        <w:t xml:space="preserve">Pre-transaction, Clinix is controlled by Friesdshelf 41(Pty) Ltd (“Friedshelf”).  Friedshelf is, in turn, controlled by the KOP Share Trust, Matseke Medical Investments (Pty) ltd and Clinix (Pty) ltd. The Transaction will see the PIC acquiring a sufficient shareholding in Clinix to afford it minority shareholder protections. </w:t>
      </w:r>
    </w:p>
    <w:p w:rsidR="00F77ADD" w:rsidRPr="00F77ADD" w:rsidRDefault="00F77ADD" w:rsidP="00F77ADD">
      <w:pPr>
        <w:spacing w:before="240"/>
        <w:rPr>
          <w:rFonts w:ascii="Arial" w:hAnsi="Arial" w:cs="Arial"/>
        </w:rPr>
      </w:pPr>
      <w:r w:rsidRPr="00F77ADD">
        <w:rPr>
          <w:rFonts w:ascii="Arial" w:hAnsi="Arial" w:cs="Arial"/>
        </w:rPr>
        <w:t xml:space="preserve">The </w:t>
      </w:r>
      <w:r w:rsidR="005C35F7">
        <w:rPr>
          <w:rFonts w:ascii="Arial" w:hAnsi="Arial" w:cs="Arial"/>
        </w:rPr>
        <w:t xml:space="preserve">Tribunal has approved the merger without </w:t>
      </w:r>
      <w:r w:rsidRPr="00F77ADD">
        <w:rPr>
          <w:rFonts w:ascii="Arial" w:hAnsi="Arial" w:cs="Arial"/>
        </w:rPr>
        <w:t>conditions.</w:t>
      </w:r>
    </w:p>
    <w:p w:rsidR="00E06EF2" w:rsidRDefault="00E06EF2" w:rsidP="00EB74B3">
      <w:pPr>
        <w:autoSpaceDE w:val="0"/>
        <w:autoSpaceDN w:val="0"/>
        <w:spacing w:line="276" w:lineRule="auto"/>
        <w:ind w:left="851" w:hanging="851"/>
        <w:jc w:val="both"/>
        <w:rPr>
          <w:rFonts w:ascii="Arial" w:hAnsi="Arial" w:cs="Arial"/>
          <w:b/>
          <w:bCs/>
          <w:sz w:val="20"/>
          <w:szCs w:val="20"/>
          <w:lang w:val="en-GB"/>
        </w:rPr>
      </w:pPr>
    </w:p>
    <w:p w:rsidR="0098797E" w:rsidRPr="00F54924" w:rsidRDefault="0098797E" w:rsidP="00F77ADD">
      <w:pPr>
        <w:ind w:right="454"/>
        <w:jc w:val="both"/>
        <w:rPr>
          <w:rFonts w:ascii="Arial" w:hAnsi="Arial" w:cs="Arial"/>
          <w:lang w:eastAsia="en-ZA"/>
        </w:rPr>
      </w:pPr>
      <w:r w:rsidRPr="00F54924">
        <w:rPr>
          <w:rFonts w:ascii="Arial" w:hAnsi="Arial" w:cs="Arial"/>
          <w:color w:val="000000"/>
          <w:lang w:eastAsia="en-ZA"/>
        </w:rPr>
        <w:t xml:space="preserve">Issued by: </w:t>
      </w:r>
    </w:p>
    <w:p w:rsidR="0098797E" w:rsidRPr="00F54924" w:rsidRDefault="0098797E" w:rsidP="00F77ADD">
      <w:pPr>
        <w:ind w:right="454"/>
        <w:jc w:val="both"/>
        <w:rPr>
          <w:rFonts w:ascii="Arial" w:hAnsi="Arial" w:cs="Arial"/>
          <w:color w:val="000000"/>
          <w:lang w:eastAsia="en-ZA"/>
        </w:rPr>
      </w:pPr>
      <w:r w:rsidRPr="00F54924">
        <w:rPr>
          <w:rFonts w:ascii="Arial" w:hAnsi="Arial" w:cs="Arial"/>
          <w:color w:val="000000"/>
          <w:lang w:eastAsia="en-ZA"/>
        </w:rPr>
        <w:t xml:space="preserve">Chantelle Benjamin </w:t>
      </w:r>
    </w:p>
    <w:p w:rsidR="0098797E" w:rsidRPr="00F54924" w:rsidRDefault="0098797E" w:rsidP="00F77ADD">
      <w:pPr>
        <w:ind w:right="454"/>
        <w:jc w:val="both"/>
        <w:rPr>
          <w:rFonts w:ascii="Arial" w:hAnsi="Arial" w:cs="Arial"/>
          <w:color w:val="000000"/>
          <w:lang w:eastAsia="en-ZA"/>
        </w:rPr>
      </w:pPr>
      <w:r w:rsidRPr="00F54924">
        <w:rPr>
          <w:rFonts w:ascii="Arial" w:hAnsi="Arial" w:cs="Arial"/>
          <w:color w:val="000000"/>
          <w:lang w:eastAsia="en-ZA"/>
        </w:rPr>
        <w:t>Communications: Competition Tribunal   </w:t>
      </w:r>
    </w:p>
    <w:p w:rsidR="0098797E" w:rsidRPr="00F54924" w:rsidRDefault="0098797E" w:rsidP="00F77ADD">
      <w:pPr>
        <w:ind w:right="454"/>
        <w:jc w:val="both"/>
        <w:rPr>
          <w:rFonts w:ascii="Arial" w:hAnsi="Arial" w:cs="Arial"/>
          <w:color w:val="000000"/>
          <w:lang w:eastAsia="en-ZA"/>
        </w:rPr>
      </w:pPr>
      <w:r w:rsidRPr="00F54924">
        <w:rPr>
          <w:rFonts w:ascii="Arial" w:hAnsi="Arial" w:cs="Arial"/>
          <w:color w:val="000000"/>
          <w:lang w:eastAsia="en-ZA"/>
        </w:rPr>
        <w:t xml:space="preserve">Tel (012)394 1383                                      </w:t>
      </w:r>
    </w:p>
    <w:p w:rsidR="0098797E" w:rsidRPr="00F54924" w:rsidRDefault="0098797E" w:rsidP="00F77ADD">
      <w:pPr>
        <w:ind w:right="454"/>
        <w:jc w:val="both"/>
        <w:rPr>
          <w:rFonts w:ascii="Arial" w:hAnsi="Arial" w:cs="Arial"/>
          <w:color w:val="000000"/>
          <w:lang w:eastAsia="en-ZA"/>
        </w:rPr>
      </w:pPr>
      <w:r w:rsidRPr="00F54924">
        <w:rPr>
          <w:rFonts w:ascii="Arial" w:hAnsi="Arial" w:cs="Arial"/>
          <w:color w:val="000000"/>
          <w:lang w:eastAsia="en-ZA"/>
        </w:rPr>
        <w:t>Cell: +27 (0) 73 007 5603  </w:t>
      </w:r>
    </w:p>
    <w:p w:rsidR="0098797E" w:rsidRPr="00F54924" w:rsidRDefault="0098797E" w:rsidP="00F77ADD">
      <w:pPr>
        <w:ind w:right="454"/>
        <w:jc w:val="both"/>
        <w:rPr>
          <w:rFonts w:ascii="Arial" w:hAnsi="Arial" w:cs="Arial"/>
          <w:lang w:eastAsia="en-ZA"/>
        </w:rPr>
      </w:pPr>
      <w:r w:rsidRPr="00F54924">
        <w:rPr>
          <w:rFonts w:ascii="Arial" w:hAnsi="Arial" w:cs="Arial"/>
          <w:color w:val="000000"/>
          <w:lang w:eastAsia="en-ZA"/>
        </w:rPr>
        <w:t xml:space="preserve">Twitter: @comptrib                                        </w:t>
      </w:r>
    </w:p>
    <w:p w:rsidR="0098797E" w:rsidRPr="00F54924" w:rsidRDefault="0098797E" w:rsidP="00F77ADD">
      <w:pPr>
        <w:ind w:right="454"/>
        <w:jc w:val="both"/>
        <w:rPr>
          <w:rFonts w:ascii="Arial" w:hAnsi="Arial" w:cs="Arial"/>
        </w:rPr>
      </w:pPr>
      <w:r w:rsidRPr="00F54924">
        <w:rPr>
          <w:rFonts w:ascii="Arial" w:hAnsi="Arial" w:cs="Arial"/>
          <w:color w:val="000000"/>
          <w:lang w:eastAsia="en-ZA"/>
        </w:rPr>
        <w:t xml:space="preserve">E-Mail: </w:t>
      </w:r>
      <w:hyperlink r:id="rId6" w:history="1">
        <w:r w:rsidRPr="00F54924">
          <w:rPr>
            <w:rStyle w:val="Hyperlink"/>
            <w:rFonts w:ascii="Arial" w:hAnsi="Arial" w:cs="Arial"/>
            <w:lang w:eastAsia="en-ZA"/>
          </w:rPr>
          <w:t>chantelleb@comptrib.co.za</w:t>
        </w:r>
      </w:hyperlink>
      <w:r w:rsidRPr="00F54924">
        <w:rPr>
          <w:rFonts w:ascii="Arial" w:hAnsi="Arial" w:cs="Arial"/>
        </w:rPr>
        <w:t xml:space="preserve"> </w:t>
      </w:r>
    </w:p>
    <w:p w:rsidR="0098797E" w:rsidRPr="00F54924" w:rsidRDefault="0098797E" w:rsidP="00F54924">
      <w:pPr>
        <w:ind w:left="454" w:right="454"/>
        <w:jc w:val="both"/>
        <w:rPr>
          <w:rFonts w:ascii="Arial" w:hAnsi="Arial" w:cs="Arial"/>
          <w:color w:val="000000"/>
        </w:rPr>
      </w:pPr>
    </w:p>
    <w:p w:rsidR="0098797E" w:rsidRPr="00F54924" w:rsidRDefault="0098797E" w:rsidP="00F54924">
      <w:pPr>
        <w:ind w:left="454" w:right="454"/>
        <w:jc w:val="both"/>
        <w:rPr>
          <w:rFonts w:ascii="Arial" w:hAnsi="Arial" w:cs="Arial"/>
          <w:color w:val="000000"/>
        </w:rPr>
      </w:pPr>
    </w:p>
    <w:p w:rsidR="0098797E" w:rsidRPr="00F54924" w:rsidRDefault="0098797E" w:rsidP="00F77ADD">
      <w:pPr>
        <w:ind w:right="454"/>
        <w:jc w:val="both"/>
        <w:rPr>
          <w:rFonts w:ascii="Arial" w:hAnsi="Arial" w:cs="Arial"/>
          <w:lang w:eastAsia="en-ZA"/>
        </w:rPr>
      </w:pPr>
      <w:r w:rsidRPr="00F54924">
        <w:rPr>
          <w:rFonts w:ascii="Arial" w:hAnsi="Arial" w:cs="Arial"/>
          <w:color w:val="000000"/>
          <w:lang w:eastAsia="en-ZA"/>
        </w:rPr>
        <w:t>On Behalf Of:</w:t>
      </w:r>
    </w:p>
    <w:p w:rsidR="0098797E" w:rsidRPr="00F54924" w:rsidRDefault="0098797E" w:rsidP="00F77ADD">
      <w:pPr>
        <w:ind w:right="454"/>
        <w:jc w:val="both"/>
        <w:rPr>
          <w:rFonts w:ascii="Arial" w:hAnsi="Arial" w:cs="Arial"/>
          <w:lang w:eastAsia="en-ZA"/>
        </w:rPr>
      </w:pPr>
      <w:r w:rsidRPr="00F54924">
        <w:rPr>
          <w:rFonts w:ascii="Arial" w:hAnsi="Arial" w:cs="Arial"/>
          <w:color w:val="000000"/>
          <w:lang w:eastAsia="en-ZA"/>
        </w:rPr>
        <w:t>Lerato Motaung                                                   </w:t>
      </w:r>
    </w:p>
    <w:p w:rsidR="0098797E" w:rsidRPr="00F54924" w:rsidRDefault="0098797E" w:rsidP="00F77ADD">
      <w:pPr>
        <w:ind w:right="454"/>
        <w:jc w:val="both"/>
        <w:rPr>
          <w:rFonts w:ascii="Arial" w:hAnsi="Arial" w:cs="Arial"/>
          <w:lang w:eastAsia="en-ZA"/>
        </w:rPr>
      </w:pPr>
      <w:r w:rsidRPr="00F54924">
        <w:rPr>
          <w:rFonts w:ascii="Arial" w:hAnsi="Arial" w:cs="Arial"/>
          <w:color w:val="000000"/>
          <w:lang w:eastAsia="en-ZA"/>
        </w:rPr>
        <w:t xml:space="preserve">Registrar: Competition Tribunal                                         </w:t>
      </w:r>
    </w:p>
    <w:p w:rsidR="0098797E" w:rsidRPr="00F54924" w:rsidRDefault="0098797E" w:rsidP="00F77ADD">
      <w:pPr>
        <w:ind w:right="454"/>
        <w:jc w:val="both"/>
        <w:rPr>
          <w:rFonts w:ascii="Arial" w:hAnsi="Arial" w:cs="Arial"/>
          <w:lang w:eastAsia="en-ZA"/>
        </w:rPr>
      </w:pPr>
      <w:r w:rsidRPr="00F54924">
        <w:rPr>
          <w:rFonts w:ascii="Arial" w:hAnsi="Arial" w:cs="Arial"/>
          <w:color w:val="000000"/>
          <w:lang w:eastAsia="en-ZA"/>
        </w:rPr>
        <w:t xml:space="preserve">Tel: (012) 394 3355                                              </w:t>
      </w:r>
    </w:p>
    <w:p w:rsidR="0098797E" w:rsidRPr="00F54924" w:rsidRDefault="0098797E" w:rsidP="00F77ADD">
      <w:pPr>
        <w:ind w:right="454"/>
        <w:jc w:val="both"/>
        <w:rPr>
          <w:rFonts w:ascii="Arial" w:hAnsi="Arial" w:cs="Arial"/>
          <w:lang w:eastAsia="en-ZA"/>
        </w:rPr>
      </w:pPr>
      <w:r w:rsidRPr="00F54924">
        <w:rPr>
          <w:rFonts w:ascii="Arial" w:hAnsi="Arial" w:cs="Arial"/>
          <w:color w:val="000000"/>
          <w:lang w:eastAsia="en-ZA"/>
        </w:rPr>
        <w:t xml:space="preserve">Cell: +27 (0) 82 556 3221                                               </w:t>
      </w:r>
    </w:p>
    <w:p w:rsidR="0098797E" w:rsidRPr="00F54924" w:rsidRDefault="0098797E" w:rsidP="00F77ADD">
      <w:pPr>
        <w:ind w:right="454"/>
        <w:jc w:val="both"/>
        <w:rPr>
          <w:rFonts w:ascii="Arial" w:hAnsi="Arial" w:cs="Arial"/>
        </w:rPr>
      </w:pPr>
      <w:r w:rsidRPr="00F54924">
        <w:rPr>
          <w:rFonts w:ascii="Arial" w:hAnsi="Arial" w:cs="Arial"/>
          <w:color w:val="000000"/>
          <w:lang w:eastAsia="en-ZA"/>
        </w:rPr>
        <w:t xml:space="preserve">E-Mail: </w:t>
      </w:r>
      <w:hyperlink r:id="rId7" w:history="1">
        <w:r w:rsidRPr="00F54924">
          <w:rPr>
            <w:rStyle w:val="Hyperlink"/>
            <w:rFonts w:ascii="Arial" w:hAnsi="Arial" w:cs="Arial"/>
            <w:lang w:eastAsia="en-ZA"/>
          </w:rPr>
          <w:t>LeratoM@comptrib.co.za</w:t>
        </w:r>
      </w:hyperlink>
    </w:p>
    <w:p w:rsidR="0098797E" w:rsidRDefault="0098797E" w:rsidP="00EB74B3">
      <w:pPr>
        <w:autoSpaceDE w:val="0"/>
        <w:autoSpaceDN w:val="0"/>
        <w:spacing w:line="276" w:lineRule="auto"/>
        <w:jc w:val="both"/>
      </w:pPr>
    </w:p>
    <w:sectPr w:rsidR="00987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683ED8"/>
    <w:multiLevelType w:val="hybridMultilevel"/>
    <w:tmpl w:val="AA6A589E"/>
    <w:lvl w:ilvl="0" w:tplc="22021590">
      <w:numFmt w:val="bullet"/>
      <w:lvlText w:val=""/>
      <w:lvlJc w:val="left"/>
      <w:pPr>
        <w:ind w:left="720" w:hanging="360"/>
      </w:pPr>
      <w:rPr>
        <w:rFonts w:ascii="Symbol" w:eastAsia="Calibri" w:hAnsi="Symbo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33"/>
    <w:rsid w:val="00074765"/>
    <w:rsid w:val="00113F14"/>
    <w:rsid w:val="0019794E"/>
    <w:rsid w:val="002A4ABB"/>
    <w:rsid w:val="003C165A"/>
    <w:rsid w:val="003C7A8A"/>
    <w:rsid w:val="0040460F"/>
    <w:rsid w:val="00482491"/>
    <w:rsid w:val="005236B6"/>
    <w:rsid w:val="00577E88"/>
    <w:rsid w:val="005C35F7"/>
    <w:rsid w:val="0061577F"/>
    <w:rsid w:val="006F60BE"/>
    <w:rsid w:val="007A3655"/>
    <w:rsid w:val="007C4633"/>
    <w:rsid w:val="00804478"/>
    <w:rsid w:val="0081400D"/>
    <w:rsid w:val="00860E9C"/>
    <w:rsid w:val="0092218D"/>
    <w:rsid w:val="0096357F"/>
    <w:rsid w:val="0098797E"/>
    <w:rsid w:val="009F565E"/>
    <w:rsid w:val="00A54048"/>
    <w:rsid w:val="00A803D3"/>
    <w:rsid w:val="00CA3028"/>
    <w:rsid w:val="00D10A26"/>
    <w:rsid w:val="00D41697"/>
    <w:rsid w:val="00E06EF2"/>
    <w:rsid w:val="00EB74B3"/>
    <w:rsid w:val="00ED1028"/>
    <w:rsid w:val="00F46869"/>
    <w:rsid w:val="00F47E50"/>
    <w:rsid w:val="00F54924"/>
    <w:rsid w:val="00F77A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D0884-2B72-4A9C-9865-4A89CF9B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E5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0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1400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1400D"/>
    <w:rPr>
      <w:color w:val="0000FF"/>
      <w:u w:val="single"/>
    </w:rPr>
  </w:style>
  <w:style w:type="paragraph" w:styleId="ListParagraph">
    <w:name w:val="List Paragraph"/>
    <w:basedOn w:val="Normal"/>
    <w:uiPriority w:val="34"/>
    <w:qFormat/>
    <w:rsid w:val="0092218D"/>
    <w:pPr>
      <w:ind w:left="720"/>
    </w:pPr>
    <w:rPr>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48259">
      <w:bodyDiv w:val="1"/>
      <w:marLeft w:val="0"/>
      <w:marRight w:val="0"/>
      <w:marTop w:val="0"/>
      <w:marBottom w:val="0"/>
      <w:divBdr>
        <w:top w:val="none" w:sz="0" w:space="0" w:color="auto"/>
        <w:left w:val="none" w:sz="0" w:space="0" w:color="auto"/>
        <w:bottom w:val="none" w:sz="0" w:space="0" w:color="auto"/>
        <w:right w:val="none" w:sz="0" w:space="0" w:color="auto"/>
      </w:divBdr>
    </w:div>
    <w:div w:id="1363238790">
      <w:bodyDiv w:val="1"/>
      <w:marLeft w:val="0"/>
      <w:marRight w:val="0"/>
      <w:marTop w:val="0"/>
      <w:marBottom w:val="0"/>
      <w:divBdr>
        <w:top w:val="none" w:sz="0" w:space="0" w:color="auto"/>
        <w:left w:val="none" w:sz="0" w:space="0" w:color="auto"/>
        <w:bottom w:val="none" w:sz="0" w:space="0" w:color="auto"/>
        <w:right w:val="none" w:sz="0" w:space="0" w:color="auto"/>
      </w:divBdr>
    </w:div>
    <w:div w:id="1377390093">
      <w:bodyDiv w:val="1"/>
      <w:marLeft w:val="0"/>
      <w:marRight w:val="0"/>
      <w:marTop w:val="0"/>
      <w:marBottom w:val="0"/>
      <w:divBdr>
        <w:top w:val="none" w:sz="0" w:space="0" w:color="auto"/>
        <w:left w:val="none" w:sz="0" w:space="0" w:color="auto"/>
        <w:bottom w:val="none" w:sz="0" w:space="0" w:color="auto"/>
        <w:right w:val="none" w:sz="0" w:space="0" w:color="auto"/>
      </w:divBdr>
    </w:div>
    <w:div w:id="1392922133">
      <w:bodyDiv w:val="1"/>
      <w:marLeft w:val="0"/>
      <w:marRight w:val="0"/>
      <w:marTop w:val="0"/>
      <w:marBottom w:val="0"/>
      <w:divBdr>
        <w:top w:val="none" w:sz="0" w:space="0" w:color="auto"/>
        <w:left w:val="none" w:sz="0" w:space="0" w:color="auto"/>
        <w:bottom w:val="none" w:sz="0" w:space="0" w:color="auto"/>
        <w:right w:val="none" w:sz="0" w:space="0" w:color="auto"/>
      </w:divBdr>
    </w:div>
    <w:div w:id="1664504000">
      <w:bodyDiv w:val="1"/>
      <w:marLeft w:val="0"/>
      <w:marRight w:val="0"/>
      <w:marTop w:val="0"/>
      <w:marBottom w:val="0"/>
      <w:divBdr>
        <w:top w:val="none" w:sz="0" w:space="0" w:color="auto"/>
        <w:left w:val="none" w:sz="0" w:space="0" w:color="auto"/>
        <w:bottom w:val="none" w:sz="0" w:space="0" w:color="auto"/>
        <w:right w:val="none" w:sz="0" w:space="0" w:color="auto"/>
      </w:divBdr>
    </w:div>
    <w:div w:id="1923099441">
      <w:bodyDiv w:val="1"/>
      <w:marLeft w:val="0"/>
      <w:marRight w:val="0"/>
      <w:marTop w:val="0"/>
      <w:marBottom w:val="0"/>
      <w:divBdr>
        <w:top w:val="none" w:sz="0" w:space="0" w:color="auto"/>
        <w:left w:val="none" w:sz="0" w:space="0" w:color="auto"/>
        <w:bottom w:val="none" w:sz="0" w:space="0" w:color="auto"/>
        <w:right w:val="none" w:sz="0" w:space="0" w:color="auto"/>
      </w:divBdr>
    </w:div>
    <w:div w:id="20598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5</cp:revision>
  <cp:lastPrinted>2017-12-13T20:30:00Z</cp:lastPrinted>
  <dcterms:created xsi:type="dcterms:W3CDTF">2017-12-13T20:21:00Z</dcterms:created>
  <dcterms:modified xsi:type="dcterms:W3CDTF">2017-12-13T20:51:00Z</dcterms:modified>
</cp:coreProperties>
</file>